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9051" w14:textId="4006D7A5" w:rsidR="00F80497" w:rsidRDefault="00F80497" w:rsidP="00F80497">
      <w:pPr>
        <w:spacing w:before="120" w:after="240"/>
        <w:rPr>
          <w:rFonts w:ascii="Roboto" w:eastAsia="Times New Roman" w:hAnsi="Roboto" w:cs="Calibri"/>
          <w:b/>
          <w:bCs/>
          <w:sz w:val="22"/>
          <w:szCs w:val="22"/>
        </w:rPr>
      </w:pPr>
      <w:r w:rsidRPr="00F80497">
        <w:rPr>
          <w:rFonts w:ascii="Roboto" w:eastAsia="Times New Roman" w:hAnsi="Roboto" w:cs="Calibri"/>
          <w:b/>
          <w:bCs/>
          <w:sz w:val="22"/>
          <w:szCs w:val="22"/>
        </w:rPr>
        <w:t xml:space="preserve">NICU DISCHARGE </w:t>
      </w:r>
      <w:r w:rsidR="00193A23">
        <w:rPr>
          <w:rFonts w:ascii="Roboto" w:eastAsia="Times New Roman" w:hAnsi="Roboto" w:cs="Calibri"/>
          <w:b/>
          <w:bCs/>
          <w:sz w:val="22"/>
          <w:szCs w:val="22"/>
        </w:rPr>
        <w:t>PROVIDER TEMPLATE</w:t>
      </w:r>
    </w:p>
    <w:p w14:paraId="2FBE7266" w14:textId="4541E914" w:rsidR="00F80497" w:rsidRPr="00F80497" w:rsidRDefault="0049765E" w:rsidP="006C2997">
      <w:pPr>
        <w:spacing w:before="120"/>
        <w:rPr>
          <w:rFonts w:ascii="Roboto" w:eastAsia="Times New Roman" w:hAnsi="Roboto" w:cs="Calibri"/>
          <w:sz w:val="48"/>
          <w:szCs w:val="48"/>
        </w:rPr>
      </w:pPr>
      <w:r w:rsidRPr="00F80497">
        <w:rPr>
          <w:rFonts w:ascii="Roboto" w:eastAsia="Times New Roman" w:hAnsi="Roboto" w:cs="Calibri"/>
          <w:sz w:val="48"/>
          <w:szCs w:val="48"/>
        </w:rPr>
        <w:t>Primary Care Guidance for Preterm Infants</w:t>
      </w:r>
    </w:p>
    <w:p w14:paraId="5BF062A2" w14:textId="77777777" w:rsidR="00F80497" w:rsidRPr="006C2997" w:rsidRDefault="00F80497" w:rsidP="00F80497">
      <w:pPr>
        <w:rPr>
          <w:rFonts w:ascii="Roboto Light" w:eastAsia="Times New Roman" w:hAnsi="Roboto Light" w:cs="Calibri"/>
          <w:sz w:val="22"/>
          <w:szCs w:val="22"/>
        </w:rPr>
      </w:pPr>
      <w:r>
        <w:rPr>
          <w:rFonts w:ascii="Roboto Light" w:eastAsia="Times New Roman" w:hAnsi="Roboto Light" w:cs="Calibri"/>
          <w:noProof/>
          <w:sz w:val="22"/>
          <w:szCs w:val="22"/>
        </w:rPr>
        <mc:AlternateContent>
          <mc:Choice Requires="wps">
            <w:drawing>
              <wp:anchor distT="0" distB="0" distL="114300" distR="114300" simplePos="0" relativeHeight="251662336" behindDoc="0" locked="0" layoutInCell="1" allowOverlap="1" wp14:anchorId="3004D67E" wp14:editId="44A56575">
                <wp:simplePos x="0" y="0"/>
                <wp:positionH relativeFrom="column">
                  <wp:posOffset>-12700</wp:posOffset>
                </wp:positionH>
                <wp:positionV relativeFrom="paragraph">
                  <wp:posOffset>57785</wp:posOffset>
                </wp:positionV>
                <wp:extent cx="6096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0EDE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4.55pt" to="47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" strokecolor="#d8d8d8 [2732]" strokeweight=".5pt">
                <v:stroke joinstyle="miter"/>
              </v:line>
            </w:pict>
          </mc:Fallback>
        </mc:AlternateContent>
      </w:r>
    </w:p>
    <w:p w14:paraId="1FE4FD6B" w14:textId="77777777" w:rsidR="00921CFA" w:rsidRPr="00856A34" w:rsidRDefault="00921CFA" w:rsidP="0049765E">
      <w:pPr>
        <w:rPr>
          <w:rFonts w:ascii="Roboto Light" w:eastAsia="Times New Roman" w:hAnsi="Roboto Light" w:cs="Calibri"/>
        </w:rPr>
      </w:pPr>
    </w:p>
    <w:p w14:paraId="4A44F7D7" w14:textId="714A19CF" w:rsidR="00CD6CE2" w:rsidRDefault="0057628D" w:rsidP="0049765E">
      <w:pPr>
        <w:rPr>
          <w:rFonts w:ascii="Roboto Light" w:eastAsia="Times New Roman" w:hAnsi="Roboto Light" w:cs="Calibri"/>
        </w:rPr>
      </w:pPr>
      <w:r w:rsidRPr="00856A34">
        <w:rPr>
          <w:rFonts w:ascii="Roboto Light" w:eastAsia="Times New Roman" w:hAnsi="Roboto Light" w:cs="Calibri"/>
        </w:rPr>
        <w:t>The following information provides general guidance</w:t>
      </w:r>
      <w:r w:rsidR="009B2B05" w:rsidRPr="00856A34">
        <w:rPr>
          <w:rFonts w:ascii="Roboto Light" w:eastAsia="Times New Roman" w:hAnsi="Roboto Light" w:cs="Calibri"/>
        </w:rPr>
        <w:t>,</w:t>
      </w:r>
      <w:r w:rsidRPr="00856A34">
        <w:rPr>
          <w:rFonts w:ascii="Roboto Light" w:eastAsia="Times New Roman" w:hAnsi="Roboto Light" w:cs="Calibri"/>
        </w:rPr>
        <w:t xml:space="preserve"> and not all recommendations are applicable to all infants. This does not indicate an exclusive course of treatment or serve as a standard of medical care.  </w:t>
      </w:r>
      <w:r w:rsidR="00F80497">
        <w:rPr>
          <w:rFonts w:ascii="Roboto Light" w:eastAsia="Times New Roman" w:hAnsi="Roboto Light" w:cs="Calibri"/>
        </w:rPr>
        <w:t>The information provided in this discharge summary is derived from the CPQCC Primary Care for Preterm Infants and Children Toolkit.</w:t>
      </w:r>
    </w:p>
    <w:p w14:paraId="69EC083F" w14:textId="77777777" w:rsidR="0057628D" w:rsidRPr="00856A34" w:rsidRDefault="0057628D" w:rsidP="0049765E">
      <w:pPr>
        <w:rPr>
          <w:rFonts w:ascii="Roboto Light" w:eastAsia="Times New Roman" w:hAnsi="Roboto Light" w:cs="Calibri"/>
        </w:rPr>
      </w:pPr>
    </w:p>
    <w:p w14:paraId="1BC8AA90" w14:textId="52AE355C" w:rsidR="00A53C40" w:rsidRPr="00856A34" w:rsidRDefault="00D53670" w:rsidP="0011508D">
      <w:pPr>
        <w:rPr>
          <w:rFonts w:ascii="Roboto Light" w:eastAsia="Times New Roman" w:hAnsi="Roboto Light" w:cs="Calibri"/>
        </w:rPr>
      </w:pPr>
      <w:r>
        <w:rPr>
          <w:rFonts w:ascii="Roboto" w:eastAsia="Times New Roman" w:hAnsi="Roboto" w:cs="Calibri"/>
          <w:b/>
          <w:bCs/>
          <w:u w:val="single"/>
        </w:rPr>
        <w:t>Nutrition:</w:t>
      </w:r>
      <w:r w:rsidR="0011508D" w:rsidRPr="00856A34">
        <w:rPr>
          <w:rFonts w:ascii="Roboto Light" w:eastAsia="Times New Roman" w:hAnsi="Roboto Light" w:cs="Calibri"/>
        </w:rPr>
        <w:t xml:space="preserve">  Use </w:t>
      </w:r>
      <w:r w:rsidR="00BF7922" w:rsidRPr="00856A34">
        <w:rPr>
          <w:rFonts w:ascii="Roboto Light" w:eastAsia="Times New Roman" w:hAnsi="Roboto Light" w:cs="Calibri"/>
        </w:rPr>
        <w:t xml:space="preserve">corrected </w:t>
      </w:r>
      <w:r w:rsidR="0011508D" w:rsidRPr="00856A34">
        <w:rPr>
          <w:rFonts w:ascii="Roboto Light" w:eastAsia="Times New Roman" w:hAnsi="Roboto Light" w:cs="Calibri"/>
        </w:rPr>
        <w:t>age</w:t>
      </w:r>
      <w:r w:rsidR="00BF7922" w:rsidRPr="00856A34">
        <w:rPr>
          <w:rFonts w:ascii="Roboto Light" w:eastAsia="Times New Roman" w:hAnsi="Roboto Light" w:cs="Calibri"/>
        </w:rPr>
        <w:t xml:space="preserve"> (adjusted for prematurity) on WHO growth chart until 2 years of age</w:t>
      </w:r>
      <w:r w:rsidR="0011508D" w:rsidRPr="00856A34">
        <w:rPr>
          <w:rFonts w:ascii="Roboto Light" w:eastAsia="Times New Roman" w:hAnsi="Roboto Light" w:cs="Calibri"/>
        </w:rPr>
        <w:t>.  Always promote breastfeeding</w:t>
      </w:r>
      <w:r w:rsidR="000D383B">
        <w:rPr>
          <w:rFonts w:ascii="Roboto Light" w:eastAsia="Times New Roman" w:hAnsi="Roboto Light" w:cs="Calibri"/>
        </w:rPr>
        <w:t xml:space="preserve">, aim to maintain the growth trajectory achieved in the hospital, </w:t>
      </w:r>
      <w:r w:rsidR="0011508D" w:rsidRPr="00856A34">
        <w:rPr>
          <w:rFonts w:ascii="Roboto Light" w:eastAsia="Times New Roman" w:hAnsi="Roboto Light" w:cs="Calibri"/>
        </w:rPr>
        <w:t xml:space="preserve">and do not overfeed. Length of </w:t>
      </w:r>
      <w:r w:rsidR="00934F08" w:rsidRPr="00856A34">
        <w:rPr>
          <w:rFonts w:ascii="Roboto Light" w:eastAsia="Times New Roman" w:hAnsi="Roboto Light" w:cs="Calibri"/>
        </w:rPr>
        <w:t>use of post-</w:t>
      </w:r>
      <w:r w:rsidR="0011508D" w:rsidRPr="00856A34">
        <w:rPr>
          <w:rFonts w:ascii="Roboto Light" w:eastAsia="Times New Roman" w:hAnsi="Roboto Light" w:cs="Calibri"/>
        </w:rPr>
        <w:t xml:space="preserve">discharge formula (usually </w:t>
      </w:r>
      <w:proofErr w:type="spellStart"/>
      <w:r w:rsidR="00934F08" w:rsidRPr="00856A34">
        <w:rPr>
          <w:rFonts w:ascii="Roboto Light" w:eastAsia="Times New Roman" w:hAnsi="Roboto Light" w:cs="Calibri"/>
        </w:rPr>
        <w:t>EnfaC</w:t>
      </w:r>
      <w:r w:rsidR="0011508D" w:rsidRPr="00856A34">
        <w:rPr>
          <w:rFonts w:ascii="Roboto Light" w:eastAsia="Times New Roman" w:hAnsi="Roboto Light" w:cs="Calibri"/>
        </w:rPr>
        <w:t>are</w:t>
      </w:r>
      <w:proofErr w:type="spellEnd"/>
      <w:r w:rsidR="00A53C40" w:rsidRPr="00856A34">
        <w:rPr>
          <w:rFonts w:ascii="Roboto Light" w:eastAsia="Times New Roman" w:hAnsi="Roboto Light" w:cs="Calibri"/>
        </w:rPr>
        <w:t>®</w:t>
      </w:r>
      <w:r w:rsidR="00934F08" w:rsidRPr="00856A34">
        <w:rPr>
          <w:rFonts w:ascii="Roboto Light" w:eastAsia="Times New Roman" w:hAnsi="Roboto Light" w:cs="Calibri"/>
        </w:rPr>
        <w:t xml:space="preserve"> or </w:t>
      </w:r>
      <w:proofErr w:type="spellStart"/>
      <w:r w:rsidR="00934F08" w:rsidRPr="00856A34">
        <w:rPr>
          <w:rFonts w:ascii="Roboto Light" w:eastAsia="Times New Roman" w:hAnsi="Roboto Light" w:cs="Calibri"/>
        </w:rPr>
        <w:t>NeoSure</w:t>
      </w:r>
      <w:proofErr w:type="spellEnd"/>
      <w:r w:rsidR="00A53C40" w:rsidRPr="00856A34">
        <w:rPr>
          <w:rFonts w:ascii="Roboto Light" w:eastAsia="Times New Roman" w:hAnsi="Roboto Light" w:cs="Calibri"/>
        </w:rPr>
        <w:t>®</w:t>
      </w:r>
      <w:r w:rsidR="0011508D" w:rsidRPr="00856A34">
        <w:rPr>
          <w:rFonts w:ascii="Roboto Light" w:eastAsia="Times New Roman" w:hAnsi="Roboto Light" w:cs="Calibri"/>
        </w:rPr>
        <w:t xml:space="preserve">) is controversial </w:t>
      </w:r>
      <w:r w:rsidR="00A53C40" w:rsidRPr="00856A34">
        <w:rPr>
          <w:rFonts w:ascii="Roboto Light" w:eastAsia="Times New Roman" w:hAnsi="Roboto Light" w:cs="Calibri"/>
        </w:rPr>
        <w:t xml:space="preserve">and </w:t>
      </w:r>
      <w:r w:rsidR="0011508D" w:rsidRPr="00856A34">
        <w:rPr>
          <w:rFonts w:ascii="Roboto Light" w:eastAsia="Times New Roman" w:hAnsi="Roboto Light" w:cs="Calibri"/>
        </w:rPr>
        <w:t xml:space="preserve">without standard recommendations </w:t>
      </w:r>
      <w:r w:rsidR="00DB124E">
        <w:rPr>
          <w:rFonts w:ascii="Roboto Light" w:eastAsia="Times New Roman" w:hAnsi="Roboto Light" w:cs="Calibri"/>
        </w:rPr>
        <w:t>and</w:t>
      </w:r>
      <w:r w:rsidR="0011508D" w:rsidRPr="00856A34">
        <w:rPr>
          <w:rFonts w:ascii="Roboto Light" w:eastAsia="Times New Roman" w:hAnsi="Roboto Light" w:cs="Calibri"/>
        </w:rPr>
        <w:t xml:space="preserve"> should not replace breastfeeding in an adequately growing infant. These are some informal suggestions for using </w:t>
      </w:r>
      <w:r w:rsidR="00074699">
        <w:rPr>
          <w:rFonts w:ascii="Roboto Light" w:eastAsia="Times New Roman" w:hAnsi="Roboto Light" w:cs="Calibri"/>
        </w:rPr>
        <w:t xml:space="preserve">post-discharge </w:t>
      </w:r>
      <w:r w:rsidR="0011508D" w:rsidRPr="00856A34">
        <w:rPr>
          <w:rFonts w:ascii="Roboto Light" w:eastAsia="Times New Roman" w:hAnsi="Roboto Light" w:cs="Calibri"/>
        </w:rPr>
        <w:t>f</w:t>
      </w:r>
      <w:r w:rsidR="00A53C40" w:rsidRPr="00856A34">
        <w:rPr>
          <w:rFonts w:ascii="Roboto Light" w:eastAsia="Times New Roman" w:hAnsi="Roboto Light" w:cs="Calibri"/>
        </w:rPr>
        <w:t>ormula in formula-fed infants:</w:t>
      </w:r>
    </w:p>
    <w:p w14:paraId="30D1645A" w14:textId="3E3B30A3" w:rsidR="00A53C40" w:rsidRPr="006C2997" w:rsidRDefault="0011508D" w:rsidP="006C2997">
      <w:pPr>
        <w:pStyle w:val="ListParagraph"/>
        <w:numPr>
          <w:ilvl w:val="1"/>
          <w:numId w:val="2"/>
        </w:numPr>
        <w:spacing w:before="120"/>
        <w:rPr>
          <w:rFonts w:ascii="Roboto Light" w:eastAsia="Times New Roman" w:hAnsi="Roboto Light" w:cs="Calibri"/>
        </w:rPr>
      </w:pPr>
      <w:r w:rsidRPr="006C2997">
        <w:rPr>
          <w:rFonts w:ascii="Roboto" w:eastAsia="Times New Roman" w:hAnsi="Roboto" w:cs="Calibri"/>
          <w:i/>
          <w:iCs/>
        </w:rPr>
        <w:t xml:space="preserve">BW &gt;1800 </w:t>
      </w:r>
      <w:r w:rsidR="00A22130" w:rsidRPr="006C2997">
        <w:rPr>
          <w:rFonts w:ascii="Roboto" w:eastAsia="Times New Roman" w:hAnsi="Roboto" w:cs="Calibri"/>
          <w:i/>
          <w:iCs/>
        </w:rPr>
        <w:t>grams</w:t>
      </w:r>
      <w:r w:rsidR="00921CFA" w:rsidRPr="006C2997">
        <w:rPr>
          <w:rFonts w:ascii="Roboto" w:eastAsia="Times New Roman" w:hAnsi="Roboto" w:cs="Calibri"/>
          <w:i/>
          <w:iCs/>
        </w:rPr>
        <w:t>:</w:t>
      </w:r>
      <w:r w:rsidR="00A22130" w:rsidRPr="006C2997">
        <w:rPr>
          <w:rFonts w:ascii="Roboto Light" w:eastAsia="Times New Roman" w:hAnsi="Roboto Light" w:cs="Calibri"/>
        </w:rPr>
        <w:t xml:space="preserve"> </w:t>
      </w:r>
      <w:r w:rsidR="006C2997" w:rsidRPr="006C2997">
        <w:rPr>
          <w:rFonts w:ascii="Roboto Light" w:eastAsia="Times New Roman" w:hAnsi="Roboto Light" w:cs="Calibri"/>
        </w:rPr>
        <w:t>p</w:t>
      </w:r>
      <w:r w:rsidR="00A53C40" w:rsidRPr="006C2997">
        <w:rPr>
          <w:rFonts w:ascii="Roboto Light" w:eastAsia="Times New Roman" w:hAnsi="Roboto Light" w:cs="Calibri"/>
        </w:rPr>
        <w:t>robably not necessary</w:t>
      </w:r>
    </w:p>
    <w:p w14:paraId="0A174747" w14:textId="7E9673B3" w:rsidR="00A53C40" w:rsidRPr="006C2997" w:rsidRDefault="0011508D" w:rsidP="006C2997">
      <w:pPr>
        <w:pStyle w:val="ListParagraph"/>
        <w:numPr>
          <w:ilvl w:val="1"/>
          <w:numId w:val="2"/>
        </w:numPr>
        <w:rPr>
          <w:rFonts w:ascii="Roboto Light" w:eastAsia="Times New Roman" w:hAnsi="Roboto Light" w:cs="Calibri"/>
        </w:rPr>
      </w:pPr>
      <w:r w:rsidRPr="006C2997">
        <w:rPr>
          <w:rFonts w:ascii="Roboto" w:eastAsia="Times New Roman" w:hAnsi="Roboto" w:cs="Calibri"/>
          <w:i/>
          <w:iCs/>
        </w:rPr>
        <w:t>BW 15</w:t>
      </w:r>
      <w:r w:rsidR="00A53C40" w:rsidRPr="006C2997">
        <w:rPr>
          <w:rFonts w:ascii="Roboto" w:eastAsia="Times New Roman" w:hAnsi="Roboto" w:cs="Calibri"/>
          <w:i/>
          <w:iCs/>
        </w:rPr>
        <w:t>01-1800 grams</w:t>
      </w:r>
      <w:r w:rsidR="000D383B" w:rsidRPr="00193A23">
        <w:rPr>
          <w:rFonts w:ascii="Roboto Light" w:eastAsia="Times New Roman" w:hAnsi="Roboto Light" w:cs="Calibri"/>
          <w:i/>
          <w:iCs/>
        </w:rPr>
        <w:t>:</w:t>
      </w:r>
      <w:r w:rsidR="00A53C40" w:rsidRPr="006C2997">
        <w:rPr>
          <w:rFonts w:ascii="Roboto Light" w:eastAsia="Times New Roman" w:hAnsi="Roboto Light" w:cs="Calibri"/>
        </w:rPr>
        <w:t xml:space="preserve"> up to 3 months</w:t>
      </w:r>
    </w:p>
    <w:p w14:paraId="7BE9BFA8" w14:textId="279B8786" w:rsidR="00A53C40" w:rsidRPr="006C2997" w:rsidRDefault="0011508D" w:rsidP="006C2997">
      <w:pPr>
        <w:pStyle w:val="ListParagraph"/>
        <w:numPr>
          <w:ilvl w:val="1"/>
          <w:numId w:val="2"/>
        </w:numPr>
        <w:rPr>
          <w:rFonts w:ascii="Roboto Light" w:eastAsia="Times New Roman" w:hAnsi="Roboto Light" w:cs="Calibri"/>
        </w:rPr>
      </w:pPr>
      <w:r w:rsidRPr="006C2997">
        <w:rPr>
          <w:rFonts w:ascii="Roboto" w:eastAsia="Times New Roman" w:hAnsi="Roboto" w:cs="Calibri"/>
          <w:i/>
          <w:iCs/>
        </w:rPr>
        <w:t>BW 10</w:t>
      </w:r>
      <w:r w:rsidR="00A53C40" w:rsidRPr="006C2997">
        <w:rPr>
          <w:rFonts w:ascii="Roboto" w:eastAsia="Times New Roman" w:hAnsi="Roboto" w:cs="Calibri"/>
          <w:i/>
          <w:iCs/>
        </w:rPr>
        <w:t>01-1500 grams</w:t>
      </w:r>
      <w:r w:rsidR="000D383B" w:rsidRPr="00193A23">
        <w:rPr>
          <w:rFonts w:ascii="Roboto Light" w:eastAsia="Times New Roman" w:hAnsi="Roboto Light" w:cs="Calibri"/>
          <w:i/>
          <w:iCs/>
        </w:rPr>
        <w:t>:</w:t>
      </w:r>
      <w:r w:rsidR="00A53C40" w:rsidRPr="006C2997">
        <w:rPr>
          <w:rFonts w:ascii="Roboto Light" w:eastAsia="Times New Roman" w:hAnsi="Roboto Light" w:cs="Calibri"/>
        </w:rPr>
        <w:t xml:space="preserve"> up to 6 months</w:t>
      </w:r>
    </w:p>
    <w:p w14:paraId="5FBE9AD7" w14:textId="7D4D3F55" w:rsidR="00A53C40" w:rsidRPr="006C2997" w:rsidRDefault="0011508D" w:rsidP="006C2997">
      <w:pPr>
        <w:pStyle w:val="ListParagraph"/>
        <w:numPr>
          <w:ilvl w:val="1"/>
          <w:numId w:val="2"/>
        </w:numPr>
        <w:rPr>
          <w:rFonts w:ascii="Roboto Light" w:eastAsia="Times New Roman" w:hAnsi="Roboto Light" w:cs="Calibri"/>
        </w:rPr>
      </w:pPr>
      <w:r w:rsidRPr="006C2997">
        <w:rPr>
          <w:rFonts w:ascii="Roboto" w:eastAsia="Times New Roman" w:hAnsi="Roboto" w:cs="Calibri"/>
          <w:i/>
          <w:iCs/>
        </w:rPr>
        <w:t>BW 7</w:t>
      </w:r>
      <w:r w:rsidR="00A53C40" w:rsidRPr="006C2997">
        <w:rPr>
          <w:rFonts w:ascii="Roboto" w:eastAsia="Times New Roman" w:hAnsi="Roboto" w:cs="Calibri"/>
          <w:i/>
          <w:iCs/>
        </w:rPr>
        <w:t>51-1000 grams</w:t>
      </w:r>
      <w:r w:rsidR="000D383B" w:rsidRPr="00193A23">
        <w:rPr>
          <w:rFonts w:ascii="Roboto Light" w:eastAsia="Times New Roman" w:hAnsi="Roboto Light" w:cs="Calibri"/>
          <w:i/>
          <w:iCs/>
        </w:rPr>
        <w:t>:</w:t>
      </w:r>
      <w:r w:rsidR="00A22130" w:rsidRPr="006C2997">
        <w:rPr>
          <w:rFonts w:ascii="Roboto Light" w:eastAsia="Times New Roman" w:hAnsi="Roboto Light" w:cs="Calibri"/>
        </w:rPr>
        <w:t xml:space="preserve"> </w:t>
      </w:r>
      <w:r w:rsidR="00A53C40" w:rsidRPr="006C2997">
        <w:rPr>
          <w:rFonts w:ascii="Roboto Light" w:eastAsia="Times New Roman" w:hAnsi="Roboto Light" w:cs="Calibri"/>
        </w:rPr>
        <w:t>up to 9 months</w:t>
      </w:r>
    </w:p>
    <w:p w14:paraId="58F1ADB2" w14:textId="2D39F30E" w:rsidR="00A53C40" w:rsidRPr="006C2997" w:rsidRDefault="0011508D" w:rsidP="006C2997">
      <w:pPr>
        <w:pStyle w:val="ListParagraph"/>
        <w:numPr>
          <w:ilvl w:val="1"/>
          <w:numId w:val="2"/>
        </w:numPr>
        <w:rPr>
          <w:rFonts w:ascii="Roboto Light" w:eastAsia="Times New Roman" w:hAnsi="Roboto Light" w:cs="Calibri"/>
        </w:rPr>
      </w:pPr>
      <w:r w:rsidRPr="006C2997">
        <w:rPr>
          <w:rFonts w:ascii="Roboto" w:eastAsia="Times New Roman" w:hAnsi="Roboto" w:cs="Calibri"/>
          <w:i/>
          <w:iCs/>
        </w:rPr>
        <w:t>BW</w:t>
      </w:r>
      <w:r w:rsidR="00A53C40" w:rsidRPr="006C2997">
        <w:rPr>
          <w:rFonts w:ascii="Roboto" w:eastAsia="Times New Roman" w:hAnsi="Roboto" w:cs="Calibri"/>
          <w:i/>
          <w:iCs/>
        </w:rPr>
        <w:t xml:space="preserve"> &lt;750 grams</w:t>
      </w:r>
      <w:r w:rsidR="000D383B">
        <w:rPr>
          <w:rFonts w:ascii="Roboto" w:eastAsia="Times New Roman" w:hAnsi="Roboto" w:cs="Calibri"/>
          <w:i/>
          <w:iCs/>
        </w:rPr>
        <w:t>:</w:t>
      </w:r>
      <w:r w:rsidR="00A53C40" w:rsidRPr="006C2997">
        <w:rPr>
          <w:rFonts w:ascii="Roboto Light" w:eastAsia="Times New Roman" w:hAnsi="Roboto Light" w:cs="Calibri"/>
        </w:rPr>
        <w:t xml:space="preserve"> up to 12 months</w:t>
      </w:r>
    </w:p>
    <w:p w14:paraId="6890E128" w14:textId="3A9A2282" w:rsidR="0011508D" w:rsidRPr="00856A34" w:rsidRDefault="0011508D" w:rsidP="00921CFA">
      <w:pPr>
        <w:spacing w:before="120"/>
        <w:rPr>
          <w:rFonts w:ascii="Roboto Light" w:eastAsia="Times New Roman" w:hAnsi="Roboto Light" w:cs="Calibri"/>
        </w:rPr>
      </w:pPr>
      <w:r w:rsidRPr="00856A34">
        <w:rPr>
          <w:rFonts w:ascii="Roboto Light" w:eastAsia="Times New Roman" w:hAnsi="Roboto Light" w:cs="Calibri"/>
        </w:rPr>
        <w:t>Caloric density</w:t>
      </w:r>
      <w:r w:rsidR="000D383B">
        <w:rPr>
          <w:rFonts w:ascii="Roboto Light" w:eastAsia="Times New Roman" w:hAnsi="Roboto Light" w:cs="Calibri"/>
        </w:rPr>
        <w:t xml:space="preserve"> and frequency</w:t>
      </w:r>
      <w:r w:rsidRPr="00856A34">
        <w:rPr>
          <w:rFonts w:ascii="Roboto Light" w:eastAsia="Times New Roman" w:hAnsi="Roboto Light" w:cs="Calibri"/>
        </w:rPr>
        <w:t xml:space="preserve"> of </w:t>
      </w:r>
      <w:r w:rsidR="000D383B">
        <w:rPr>
          <w:rFonts w:ascii="Roboto Light" w:eastAsia="Times New Roman" w:hAnsi="Roboto Light" w:cs="Calibri"/>
        </w:rPr>
        <w:t xml:space="preserve">post-discharge </w:t>
      </w:r>
      <w:r w:rsidRPr="00856A34">
        <w:rPr>
          <w:rFonts w:ascii="Roboto Light" w:eastAsia="Times New Roman" w:hAnsi="Roboto Light" w:cs="Calibri"/>
        </w:rPr>
        <w:t xml:space="preserve">formula will depend on </w:t>
      </w:r>
      <w:r w:rsidR="000D383B">
        <w:rPr>
          <w:rFonts w:ascii="Roboto Light" w:eastAsia="Times New Roman" w:hAnsi="Roboto Light" w:cs="Calibri"/>
        </w:rPr>
        <w:t>growth history</w:t>
      </w:r>
      <w:r w:rsidR="006D7FEF">
        <w:rPr>
          <w:rFonts w:ascii="Roboto Light" w:eastAsia="Times New Roman" w:hAnsi="Roboto Light" w:cs="Calibri"/>
        </w:rPr>
        <w:t xml:space="preserve"> </w:t>
      </w:r>
      <w:r w:rsidRPr="00856A34">
        <w:rPr>
          <w:rFonts w:ascii="Roboto Light" w:eastAsia="Times New Roman" w:hAnsi="Roboto Light" w:cs="Calibri"/>
        </w:rPr>
        <w:t>in the NICU and other medical issues.  </w:t>
      </w:r>
    </w:p>
    <w:p w14:paraId="1EE76412" w14:textId="77777777" w:rsidR="0014038F" w:rsidRPr="00856A34" w:rsidRDefault="0014038F" w:rsidP="00A53C40">
      <w:pPr>
        <w:rPr>
          <w:rFonts w:ascii="Roboto Light" w:eastAsia="Times New Roman" w:hAnsi="Roboto Light" w:cs="Calibri"/>
        </w:rPr>
      </w:pPr>
    </w:p>
    <w:p w14:paraId="66E42723" w14:textId="4DAED31B" w:rsidR="0011508D" w:rsidRPr="00856A34" w:rsidRDefault="0011508D" w:rsidP="0011508D">
      <w:pPr>
        <w:rPr>
          <w:rFonts w:ascii="Roboto Light" w:eastAsia="Times New Roman" w:hAnsi="Roboto Light" w:cs="Calibri"/>
        </w:rPr>
      </w:pPr>
      <w:r w:rsidRPr="00921CFA">
        <w:rPr>
          <w:rFonts w:ascii="Roboto" w:eastAsia="Times New Roman" w:hAnsi="Roboto" w:cs="Calibri"/>
          <w:b/>
          <w:bCs/>
          <w:u w:val="single"/>
        </w:rPr>
        <w:t xml:space="preserve">Vitamin D: </w:t>
      </w:r>
      <w:r w:rsidRPr="00193A23">
        <w:rPr>
          <w:rFonts w:ascii="Roboto" w:eastAsia="Times New Roman" w:hAnsi="Roboto" w:cs="Calibri"/>
          <w:u w:val="single"/>
        </w:rPr>
        <w:t>400</w:t>
      </w:r>
      <w:r w:rsidRPr="00856A34">
        <w:rPr>
          <w:rFonts w:ascii="Roboto Light" w:eastAsia="Times New Roman" w:hAnsi="Roboto Light" w:cs="Calibri"/>
        </w:rPr>
        <w:t xml:space="preserve"> IU per day recommended &lt; 1 year old. Formulas in US contain at least 400 IU per liter. </w:t>
      </w:r>
      <w:r w:rsidR="004A24A1" w:rsidRPr="00856A34">
        <w:rPr>
          <w:rFonts w:ascii="Roboto Light" w:eastAsia="Times New Roman" w:hAnsi="Roboto Light" w:cs="Calibri"/>
        </w:rPr>
        <w:t xml:space="preserve"> Supplement all breastfeeding infants</w:t>
      </w:r>
      <w:r w:rsidR="00F05B6E" w:rsidRPr="00856A34">
        <w:rPr>
          <w:rFonts w:ascii="Roboto Light" w:eastAsia="Times New Roman" w:hAnsi="Roboto Light" w:cs="Calibri"/>
        </w:rPr>
        <w:t xml:space="preserve"> and all infants</w:t>
      </w:r>
      <w:r w:rsidR="004A24A1" w:rsidRPr="00856A34">
        <w:rPr>
          <w:rFonts w:ascii="Roboto Light" w:eastAsia="Times New Roman" w:hAnsi="Roboto Light" w:cs="Calibri"/>
        </w:rPr>
        <w:t xml:space="preserve"> taking less than 1 liter of formula per day.</w:t>
      </w:r>
    </w:p>
    <w:p w14:paraId="2DF6DB0F" w14:textId="77777777" w:rsidR="0014038F" w:rsidRPr="00856A34" w:rsidRDefault="0014038F" w:rsidP="0011508D">
      <w:pPr>
        <w:rPr>
          <w:rFonts w:ascii="Roboto Light" w:eastAsia="Times New Roman" w:hAnsi="Roboto Light" w:cs="Calibri"/>
        </w:rPr>
      </w:pPr>
    </w:p>
    <w:p w14:paraId="522ECD90" w14:textId="5809133F" w:rsidR="0011508D" w:rsidRPr="00856A34" w:rsidRDefault="0011508D" w:rsidP="0049765E">
      <w:pPr>
        <w:rPr>
          <w:rFonts w:ascii="Roboto Light" w:eastAsia="Times New Roman" w:hAnsi="Roboto Light" w:cs="Calibri"/>
        </w:rPr>
      </w:pPr>
      <w:r w:rsidRPr="00921CFA">
        <w:rPr>
          <w:rFonts w:ascii="Roboto" w:eastAsia="Times New Roman" w:hAnsi="Roboto" w:cs="Calibri"/>
          <w:b/>
          <w:bCs/>
          <w:u w:val="single"/>
        </w:rPr>
        <w:t>Iron Supplementation:</w:t>
      </w:r>
      <w:r w:rsidR="0014038F" w:rsidRPr="00856A34">
        <w:rPr>
          <w:rFonts w:ascii="Roboto Light" w:eastAsia="Times New Roman" w:hAnsi="Roboto Light" w:cs="Calibri"/>
        </w:rPr>
        <w:t xml:space="preserve">  2-3</w:t>
      </w:r>
      <w:r w:rsidR="00BF2D5D" w:rsidRPr="00856A34">
        <w:rPr>
          <w:rFonts w:ascii="Roboto Light" w:eastAsia="Times New Roman" w:hAnsi="Roboto Light" w:cs="Calibri"/>
        </w:rPr>
        <w:t xml:space="preserve"> mg/kg/day for 6 to 12 months; 4</w:t>
      </w:r>
      <w:r w:rsidRPr="00856A34">
        <w:rPr>
          <w:rFonts w:ascii="Roboto Light" w:eastAsia="Times New Roman" w:hAnsi="Roboto Light" w:cs="Calibri"/>
        </w:rPr>
        <w:t>-6 mg/kg/day if anemic.</w:t>
      </w:r>
    </w:p>
    <w:p w14:paraId="51FE6E9E" w14:textId="77777777" w:rsidR="0014038F" w:rsidRPr="00856A34" w:rsidRDefault="0014038F" w:rsidP="0049765E">
      <w:pPr>
        <w:rPr>
          <w:rFonts w:ascii="Roboto Light" w:eastAsia="Times New Roman" w:hAnsi="Roboto Light" w:cs="Calibri"/>
        </w:rPr>
      </w:pPr>
    </w:p>
    <w:p w14:paraId="4559094C" w14:textId="462ABA14" w:rsidR="001B1D2C" w:rsidRPr="00856A34" w:rsidRDefault="001B1D2C" w:rsidP="0049765E">
      <w:pPr>
        <w:rPr>
          <w:rFonts w:ascii="Roboto Light" w:eastAsia="Times New Roman" w:hAnsi="Roboto Light" w:cs="Calibri"/>
        </w:rPr>
      </w:pPr>
      <w:r w:rsidRPr="00921CFA">
        <w:rPr>
          <w:rFonts w:ascii="Roboto" w:eastAsia="Times New Roman" w:hAnsi="Roboto" w:cs="Calibri"/>
          <w:b/>
          <w:bCs/>
          <w:u w:val="single"/>
        </w:rPr>
        <w:t xml:space="preserve">Hepatitis B </w:t>
      </w:r>
      <w:r w:rsidR="005973E7">
        <w:rPr>
          <w:rFonts w:ascii="Roboto" w:eastAsia="Times New Roman" w:hAnsi="Roboto" w:cs="Calibri"/>
          <w:b/>
          <w:bCs/>
          <w:u w:val="single"/>
        </w:rPr>
        <w:t>V</w:t>
      </w:r>
      <w:r w:rsidRPr="00921CFA">
        <w:rPr>
          <w:rFonts w:ascii="Roboto" w:eastAsia="Times New Roman" w:hAnsi="Roboto" w:cs="Calibri"/>
          <w:b/>
          <w:bCs/>
          <w:u w:val="single"/>
        </w:rPr>
        <w:t>accine:  </w:t>
      </w:r>
      <w:r w:rsidRPr="00856A34">
        <w:rPr>
          <w:rFonts w:ascii="Roboto Light" w:eastAsia="Times New Roman" w:hAnsi="Roboto Light" w:cs="Calibri"/>
        </w:rPr>
        <w:t>A dose received by an infant &lt;</w:t>
      </w:r>
      <w:r w:rsidR="00D00B78">
        <w:rPr>
          <w:rFonts w:ascii="Roboto Light" w:eastAsia="Times New Roman" w:hAnsi="Roboto Light" w:cs="Calibri"/>
        </w:rPr>
        <w:t xml:space="preserve"> </w:t>
      </w:r>
      <w:r w:rsidRPr="00856A34">
        <w:rPr>
          <w:rFonts w:ascii="Roboto Light" w:eastAsia="Times New Roman" w:hAnsi="Roboto Light" w:cs="Calibri"/>
        </w:rPr>
        <w:t>2000 grams AND &lt;</w:t>
      </w:r>
      <w:r w:rsidR="00D00B78">
        <w:rPr>
          <w:rFonts w:ascii="Roboto Light" w:eastAsia="Times New Roman" w:hAnsi="Roboto Light" w:cs="Calibri"/>
        </w:rPr>
        <w:t xml:space="preserve"> </w:t>
      </w:r>
      <w:r w:rsidRPr="00856A34">
        <w:rPr>
          <w:rFonts w:ascii="Roboto Light" w:eastAsia="Times New Roman" w:hAnsi="Roboto Light" w:cs="Calibri"/>
        </w:rPr>
        <w:t>1 month of age does not count towards the primary series.</w:t>
      </w:r>
    </w:p>
    <w:p w14:paraId="2165BD7E" w14:textId="77777777" w:rsidR="00A70D2D" w:rsidRPr="00856A34" w:rsidRDefault="00A70D2D" w:rsidP="0049765E">
      <w:pPr>
        <w:rPr>
          <w:rFonts w:ascii="Roboto Light" w:eastAsia="Times New Roman" w:hAnsi="Roboto Light" w:cs="Calibri"/>
        </w:rPr>
      </w:pPr>
    </w:p>
    <w:p w14:paraId="1F054A68" w14:textId="2D3A3835" w:rsidR="0049765E" w:rsidRPr="00856A34" w:rsidRDefault="0049765E" w:rsidP="0049765E">
      <w:pPr>
        <w:rPr>
          <w:rFonts w:ascii="Roboto Light" w:eastAsia="Times New Roman" w:hAnsi="Roboto Light" w:cs="Calibri"/>
        </w:rPr>
      </w:pPr>
      <w:r w:rsidRPr="00921CFA">
        <w:rPr>
          <w:rFonts w:ascii="Roboto" w:eastAsia="Times New Roman" w:hAnsi="Roboto" w:cs="Calibri"/>
          <w:b/>
          <w:bCs/>
          <w:u w:val="single"/>
        </w:rPr>
        <w:t>Rotavirus Vaccine:</w:t>
      </w:r>
      <w:r w:rsidRPr="00856A34">
        <w:rPr>
          <w:rFonts w:ascii="Roboto Light" w:eastAsia="Times New Roman" w:hAnsi="Roboto Light" w:cs="Calibri"/>
        </w:rPr>
        <w:t xml:space="preserve">  Infants </w:t>
      </w:r>
      <w:r w:rsidR="001B1D2C" w:rsidRPr="00856A34">
        <w:rPr>
          <w:rFonts w:ascii="Roboto Light" w:eastAsia="Times New Roman" w:hAnsi="Roboto Light" w:cs="Calibri"/>
        </w:rPr>
        <w:t xml:space="preserve">usually </w:t>
      </w:r>
      <w:r w:rsidRPr="00856A34">
        <w:rPr>
          <w:rFonts w:ascii="Roboto Light" w:eastAsia="Times New Roman" w:hAnsi="Roboto Light" w:cs="Calibri"/>
        </w:rPr>
        <w:t>do not receive rotavirus vaccine in the NICU. The first dose of rotavirus</w:t>
      </w:r>
      <w:r w:rsidR="001B1D2C" w:rsidRPr="00856A34">
        <w:rPr>
          <w:rFonts w:ascii="Roboto Light" w:eastAsia="Times New Roman" w:hAnsi="Roboto Light" w:cs="Calibri"/>
        </w:rPr>
        <w:t xml:space="preserve"> vaccine</w:t>
      </w:r>
      <w:r w:rsidRPr="00856A34">
        <w:rPr>
          <w:rFonts w:ascii="Roboto Light" w:eastAsia="Times New Roman" w:hAnsi="Roboto Light" w:cs="Calibri"/>
        </w:rPr>
        <w:t xml:space="preserve"> must be administered by age 14 weeks 6 days.  Consider administering at the first </w:t>
      </w:r>
      <w:r w:rsidR="000E0CA4" w:rsidRPr="00856A34">
        <w:rPr>
          <w:rFonts w:ascii="Roboto Light" w:eastAsia="Times New Roman" w:hAnsi="Roboto Light" w:cs="Calibri"/>
        </w:rPr>
        <w:t>outpatient</w:t>
      </w:r>
      <w:r w:rsidRPr="00856A34">
        <w:rPr>
          <w:rFonts w:ascii="Roboto Light" w:eastAsia="Times New Roman" w:hAnsi="Roboto Light" w:cs="Calibri"/>
        </w:rPr>
        <w:t xml:space="preserve"> visit for infants 6 weeks to 14 weeks 6 days.</w:t>
      </w:r>
    </w:p>
    <w:p w14:paraId="57235D45" w14:textId="77777777" w:rsidR="00A70D2D" w:rsidRPr="00856A34" w:rsidRDefault="00A70D2D" w:rsidP="0049765E">
      <w:pPr>
        <w:rPr>
          <w:rFonts w:ascii="Roboto Light" w:eastAsia="Times New Roman" w:hAnsi="Roboto Light" w:cs="Calibri"/>
        </w:rPr>
      </w:pPr>
    </w:p>
    <w:p w14:paraId="67A1D348" w14:textId="70317DD6" w:rsidR="00022BE6" w:rsidRDefault="005973E7" w:rsidP="0049765E">
      <w:pPr>
        <w:rPr>
          <w:rFonts w:ascii="Roboto" w:eastAsia="Times New Roman" w:hAnsi="Roboto" w:cs="Calibri"/>
          <w:b/>
          <w:bCs/>
          <w:u w:val="single"/>
        </w:rPr>
      </w:pPr>
      <w:r w:rsidRPr="00193A23">
        <w:rPr>
          <w:rFonts w:ascii="Roboto" w:eastAsia="Times New Roman" w:hAnsi="Roboto" w:cs="Calibri"/>
          <w:b/>
          <w:bCs/>
          <w:u w:val="single"/>
        </w:rPr>
        <w:t>RSV Immunization:</w:t>
      </w:r>
      <w:r w:rsidR="0049765E" w:rsidRPr="00193A23">
        <w:rPr>
          <w:rFonts w:ascii="Roboto" w:eastAsia="Times New Roman" w:hAnsi="Roboto" w:cs="Calibri"/>
          <w:b/>
          <w:bCs/>
        </w:rPr>
        <w:t xml:space="preserve"> </w:t>
      </w:r>
      <w:r w:rsidR="00423064" w:rsidRPr="00193A23">
        <w:rPr>
          <w:rFonts w:ascii="Roboto Light" w:eastAsia="Times New Roman" w:hAnsi="Roboto Light" w:cs="Calibri"/>
        </w:rPr>
        <w:t>During RSV season (typically October</w:t>
      </w:r>
      <w:r w:rsidR="00D00B78" w:rsidRPr="00193A23">
        <w:rPr>
          <w:rFonts w:ascii="Roboto Light" w:eastAsia="Times New Roman" w:hAnsi="Roboto Light" w:cs="Calibri"/>
        </w:rPr>
        <w:t xml:space="preserve"> - </w:t>
      </w:r>
      <w:r w:rsidR="00423064" w:rsidRPr="00193A23">
        <w:rPr>
          <w:rFonts w:ascii="Roboto Light" w:eastAsia="Times New Roman" w:hAnsi="Roboto Light" w:cs="Calibri"/>
        </w:rPr>
        <w:t>March), infants &lt;</w:t>
      </w:r>
      <w:r w:rsidR="00D00B78" w:rsidRPr="00193A23">
        <w:rPr>
          <w:rFonts w:ascii="Roboto Light" w:eastAsia="Times New Roman" w:hAnsi="Roboto Light" w:cs="Calibri"/>
        </w:rPr>
        <w:t xml:space="preserve"> </w:t>
      </w:r>
      <w:r w:rsidR="00423064" w:rsidRPr="00193A23">
        <w:rPr>
          <w:rFonts w:ascii="Roboto Light" w:eastAsia="Times New Roman" w:hAnsi="Roboto Light" w:cs="Calibri"/>
        </w:rPr>
        <w:t xml:space="preserve">8 months age should receive </w:t>
      </w:r>
      <w:proofErr w:type="spellStart"/>
      <w:r w:rsidR="00423064" w:rsidRPr="00193A23">
        <w:rPr>
          <w:rFonts w:ascii="Roboto Light" w:eastAsia="Times New Roman" w:hAnsi="Roboto Light" w:cs="Calibri"/>
        </w:rPr>
        <w:t>nirsevimab</w:t>
      </w:r>
      <w:proofErr w:type="spellEnd"/>
      <w:r w:rsidR="00D00B78" w:rsidRPr="00193A23">
        <w:rPr>
          <w:rFonts w:ascii="Roboto Light" w:eastAsia="Times New Roman" w:hAnsi="Roboto Light" w:cs="Calibri"/>
        </w:rPr>
        <w:t xml:space="preserve"> at birth hospitalization or soon after discharge. If birthing person received RSV vaccine </w:t>
      </w:r>
      <w:proofErr w:type="gramStart"/>
      <w:r w:rsidR="00D00B78" w:rsidRPr="00193A23">
        <w:rPr>
          <w:rFonts w:ascii="Roboto Light" w:eastAsia="Times New Roman" w:hAnsi="Roboto Light" w:cs="Calibri"/>
        </w:rPr>
        <w:t>during</w:t>
      </w:r>
      <w:proofErr w:type="gramEnd"/>
      <w:r w:rsidR="00D00B78" w:rsidRPr="00193A23">
        <w:rPr>
          <w:rFonts w:ascii="Roboto Light" w:eastAsia="Times New Roman" w:hAnsi="Roboto Light" w:cs="Calibri"/>
        </w:rPr>
        <w:t xml:space="preserve"> 32-36 weeks gestation and at least 2 weeks before birth, </w:t>
      </w:r>
      <w:proofErr w:type="spellStart"/>
      <w:r w:rsidR="00D00B78" w:rsidRPr="00193A23">
        <w:rPr>
          <w:rFonts w:ascii="Roboto Light" w:eastAsia="Times New Roman" w:hAnsi="Roboto Light" w:cs="Calibri"/>
        </w:rPr>
        <w:t>nirsevimab</w:t>
      </w:r>
      <w:proofErr w:type="spellEnd"/>
      <w:r w:rsidR="00D00B78" w:rsidRPr="00193A23">
        <w:rPr>
          <w:rFonts w:ascii="Roboto Light" w:eastAsia="Times New Roman" w:hAnsi="Roboto Light" w:cs="Calibri"/>
        </w:rPr>
        <w:t xml:space="preserve"> is not indicated. Infants 8-19 months age entering their second RSV season and at high risk should also receive </w:t>
      </w:r>
      <w:proofErr w:type="spellStart"/>
      <w:r w:rsidR="00D00B78" w:rsidRPr="00193A23">
        <w:rPr>
          <w:rFonts w:ascii="Roboto Light" w:eastAsia="Times New Roman" w:hAnsi="Roboto Light" w:cs="Calibri"/>
        </w:rPr>
        <w:t>nirsevimab</w:t>
      </w:r>
      <w:proofErr w:type="spellEnd"/>
      <w:r w:rsidR="00D00B78" w:rsidRPr="00193A23">
        <w:rPr>
          <w:rFonts w:ascii="Roboto Light" w:eastAsia="Times New Roman" w:hAnsi="Roboto Light" w:cs="Calibri"/>
        </w:rPr>
        <w:t>.</w:t>
      </w:r>
      <w:r w:rsidR="0049765E" w:rsidRPr="00193A23">
        <w:rPr>
          <w:rFonts w:ascii="Roboto Light" w:eastAsia="Times New Roman" w:hAnsi="Roboto Light" w:cs="Calibri"/>
          <w:b/>
          <w:bCs/>
          <w:u w:val="single"/>
        </w:rPr>
        <w:t> </w:t>
      </w:r>
      <w:r w:rsidR="00D00B78" w:rsidRPr="00193A23">
        <w:rPr>
          <w:rFonts w:ascii="Roboto Light" w:eastAsia="Times New Roman" w:hAnsi="Roboto Light" w:cs="Times New Roman"/>
        </w:rPr>
        <w:t>Refer to cdc.gov/</w:t>
      </w:r>
      <w:proofErr w:type="spellStart"/>
      <w:r w:rsidR="00D00B78" w:rsidRPr="00193A23">
        <w:rPr>
          <w:rFonts w:ascii="Roboto Light" w:eastAsia="Times New Roman" w:hAnsi="Roboto Light" w:cs="Times New Roman"/>
        </w:rPr>
        <w:t>rsv</w:t>
      </w:r>
      <w:proofErr w:type="spellEnd"/>
      <w:r w:rsidR="00D00B78" w:rsidRPr="00193A23">
        <w:rPr>
          <w:rFonts w:ascii="Roboto Light" w:eastAsia="Times New Roman" w:hAnsi="Roboto Light" w:cs="Times New Roman"/>
        </w:rPr>
        <w:t xml:space="preserve"> and </w:t>
      </w:r>
      <w:r w:rsidR="00D00B78" w:rsidRPr="00193A23">
        <w:rPr>
          <w:rFonts w:ascii="Roboto Light" w:eastAsia="Times New Roman" w:hAnsi="Roboto Light" w:cs="Times New Roman"/>
        </w:rPr>
        <w:lastRenderedPageBreak/>
        <w:t>aap.org/en/</w:t>
      </w:r>
      <w:proofErr w:type="gramStart"/>
      <w:r w:rsidR="00D00B78" w:rsidRPr="00193A23">
        <w:rPr>
          <w:rFonts w:ascii="Roboto Light" w:eastAsia="Times New Roman" w:hAnsi="Roboto Light" w:cs="Times New Roman"/>
        </w:rPr>
        <w:t>patient-care</w:t>
      </w:r>
      <w:proofErr w:type="gramEnd"/>
      <w:r w:rsidR="00D00B78" w:rsidRPr="00193A23">
        <w:rPr>
          <w:rFonts w:ascii="Roboto Light" w:eastAsia="Times New Roman" w:hAnsi="Roboto Light" w:cs="Times New Roman"/>
        </w:rPr>
        <w:t xml:space="preserve">/respiratory-syncytial-virus-rsv-prevention/ for </w:t>
      </w:r>
      <w:r w:rsidR="0011693A" w:rsidRPr="00193A23">
        <w:rPr>
          <w:rFonts w:ascii="Roboto Light" w:eastAsia="Times New Roman" w:hAnsi="Roboto Light" w:cs="Times New Roman"/>
        </w:rPr>
        <w:t>detail</w:t>
      </w:r>
      <w:r w:rsidR="00D00B78" w:rsidRPr="00193A23">
        <w:rPr>
          <w:rFonts w:ascii="Roboto Light" w:eastAsia="Times New Roman" w:hAnsi="Roboto Light" w:cs="Times New Roman"/>
        </w:rPr>
        <w:t>ed information.</w:t>
      </w:r>
    </w:p>
    <w:p w14:paraId="37F9CA58" w14:textId="77777777" w:rsidR="00022BE6" w:rsidRDefault="00022BE6" w:rsidP="0049765E">
      <w:pPr>
        <w:rPr>
          <w:rFonts w:ascii="Roboto" w:eastAsia="Times New Roman" w:hAnsi="Roboto" w:cs="Calibri"/>
          <w:b/>
          <w:bCs/>
          <w:u w:val="single"/>
        </w:rPr>
      </w:pPr>
    </w:p>
    <w:p w14:paraId="29043260" w14:textId="35B55C26" w:rsidR="0049765E" w:rsidRPr="00856A34" w:rsidRDefault="00022BE6" w:rsidP="0049765E">
      <w:pPr>
        <w:rPr>
          <w:rFonts w:ascii="Roboto Light" w:eastAsia="Times New Roman" w:hAnsi="Roboto Light" w:cs="Calibri"/>
        </w:rPr>
      </w:pPr>
      <w:r w:rsidRPr="00193A23">
        <w:rPr>
          <w:rFonts w:ascii="Roboto Light" w:eastAsia="Times New Roman" w:hAnsi="Roboto Light" w:cs="Calibri"/>
        </w:rPr>
        <w:t xml:space="preserve">If </w:t>
      </w:r>
      <w:proofErr w:type="spellStart"/>
      <w:r w:rsidRPr="00193A23">
        <w:rPr>
          <w:rFonts w:ascii="Roboto Light" w:eastAsia="Times New Roman" w:hAnsi="Roboto Light" w:cs="Calibri"/>
        </w:rPr>
        <w:t>nirsevimab</w:t>
      </w:r>
      <w:proofErr w:type="spellEnd"/>
      <w:r w:rsidRPr="00193A23">
        <w:rPr>
          <w:rFonts w:ascii="Roboto Light" w:eastAsia="Times New Roman" w:hAnsi="Roboto Light" w:cs="Calibri"/>
        </w:rPr>
        <w:t xml:space="preserve"> is unavailable, palivizumab may be given to </w:t>
      </w:r>
      <w:proofErr w:type="gramStart"/>
      <w:r w:rsidRPr="00193A23">
        <w:rPr>
          <w:rFonts w:ascii="Roboto Light" w:eastAsia="Times New Roman" w:hAnsi="Roboto Light" w:cs="Calibri"/>
        </w:rPr>
        <w:t>high risk</w:t>
      </w:r>
      <w:proofErr w:type="gramEnd"/>
      <w:r w:rsidRPr="00193A23">
        <w:rPr>
          <w:rFonts w:ascii="Roboto Light" w:eastAsia="Times New Roman" w:hAnsi="Roboto Light" w:cs="Calibri"/>
        </w:rPr>
        <w:t xml:space="preserve"> infants and children.</w:t>
      </w:r>
      <w:r>
        <w:rPr>
          <w:rFonts w:ascii="Roboto" w:eastAsia="Times New Roman" w:hAnsi="Roboto" w:cs="Calibri"/>
          <w:u w:val="single"/>
        </w:rPr>
        <w:t xml:space="preserve"> </w:t>
      </w:r>
      <w:r w:rsidR="0049765E" w:rsidRPr="00856A34">
        <w:rPr>
          <w:rFonts w:ascii="Roboto Light" w:eastAsia="Times New Roman" w:hAnsi="Roboto Light" w:cs="Calibri"/>
        </w:rPr>
        <w:t xml:space="preserve">Consider for infants &lt; 12 months at start of RSV season if </w:t>
      </w:r>
      <w:r w:rsidR="00074699">
        <w:rPr>
          <w:rFonts w:ascii="Roboto Light" w:eastAsia="Times New Roman" w:hAnsi="Roboto Light" w:cs="Calibri"/>
        </w:rPr>
        <w:t xml:space="preserve">&lt; </w:t>
      </w:r>
      <w:r w:rsidR="0049765E" w:rsidRPr="00856A34">
        <w:rPr>
          <w:rFonts w:ascii="Roboto Light" w:eastAsia="Times New Roman" w:hAnsi="Roboto Light" w:cs="Calibri"/>
        </w:rPr>
        <w:t>2</w:t>
      </w:r>
      <w:r>
        <w:rPr>
          <w:rFonts w:ascii="Roboto Light" w:eastAsia="Times New Roman" w:hAnsi="Roboto Light" w:cs="Calibri"/>
        </w:rPr>
        <w:t>9</w:t>
      </w:r>
      <w:r w:rsidR="0049765E" w:rsidRPr="00856A34">
        <w:rPr>
          <w:rFonts w:ascii="Roboto Light" w:eastAsia="Times New Roman" w:hAnsi="Roboto Light" w:cs="Calibri"/>
        </w:rPr>
        <w:t xml:space="preserve"> week</w:t>
      </w:r>
      <w:r w:rsidR="001B1D2C" w:rsidRPr="00856A34">
        <w:rPr>
          <w:rFonts w:ascii="Roboto Light" w:eastAsia="Times New Roman" w:hAnsi="Roboto Light" w:cs="Calibri"/>
        </w:rPr>
        <w:t>s</w:t>
      </w:r>
      <w:r w:rsidR="0049765E" w:rsidRPr="00856A34">
        <w:rPr>
          <w:rFonts w:ascii="Roboto Light" w:eastAsia="Times New Roman" w:hAnsi="Roboto Light" w:cs="Calibri"/>
        </w:rPr>
        <w:t xml:space="preserve"> GA at birth or </w:t>
      </w:r>
      <w:r w:rsidR="00074699">
        <w:rPr>
          <w:rFonts w:ascii="Roboto Light" w:eastAsia="Times New Roman" w:hAnsi="Roboto Light" w:cs="Calibri"/>
        </w:rPr>
        <w:t xml:space="preserve">&lt; </w:t>
      </w:r>
      <w:r w:rsidR="0049765E" w:rsidRPr="00856A34">
        <w:rPr>
          <w:rFonts w:ascii="Roboto Light" w:eastAsia="Times New Roman" w:hAnsi="Roboto Light" w:cs="Calibri"/>
        </w:rPr>
        <w:t>32 week</w:t>
      </w:r>
      <w:r w:rsidR="001B1D2C" w:rsidRPr="00856A34">
        <w:rPr>
          <w:rFonts w:ascii="Roboto Light" w:eastAsia="Times New Roman" w:hAnsi="Roboto Light" w:cs="Calibri"/>
        </w:rPr>
        <w:t>s</w:t>
      </w:r>
      <w:r w:rsidR="0049765E" w:rsidRPr="00856A34">
        <w:rPr>
          <w:rFonts w:ascii="Roboto Light" w:eastAsia="Times New Roman" w:hAnsi="Roboto Light" w:cs="Calibri"/>
        </w:rPr>
        <w:t xml:space="preserve"> GA </w:t>
      </w:r>
      <w:r w:rsidR="00E132A2">
        <w:rPr>
          <w:rFonts w:ascii="Roboto Light" w:eastAsia="Times New Roman" w:hAnsi="Roboto Light" w:cs="Calibri"/>
        </w:rPr>
        <w:t xml:space="preserve">at birth </w:t>
      </w:r>
      <w:r w:rsidR="0049765E" w:rsidRPr="00856A34">
        <w:rPr>
          <w:rFonts w:ascii="Roboto Light" w:eastAsia="Times New Roman" w:hAnsi="Roboto Light" w:cs="Calibri"/>
        </w:rPr>
        <w:t xml:space="preserve">and O2 requirement for at least 28 days.  Consider for infants &lt; 24 months at the start of RSV season with chronic lung disease on medical therapy within 6 months of start of RSV season. For complete </w:t>
      </w:r>
      <w:r w:rsidR="00D00B78">
        <w:rPr>
          <w:rFonts w:ascii="Roboto Light" w:eastAsia="Times New Roman" w:hAnsi="Roboto Light" w:cs="Calibri"/>
        </w:rPr>
        <w:t xml:space="preserve">palivizumab </w:t>
      </w:r>
      <w:r w:rsidR="0049765E" w:rsidRPr="00856A34">
        <w:rPr>
          <w:rFonts w:ascii="Roboto Light" w:eastAsia="Times New Roman" w:hAnsi="Roboto Light" w:cs="Calibri"/>
        </w:rPr>
        <w:t>recommendations</w:t>
      </w:r>
      <w:r w:rsidR="00113AC5" w:rsidRPr="00856A34">
        <w:rPr>
          <w:rFonts w:ascii="Roboto Light" w:eastAsia="Times New Roman" w:hAnsi="Roboto Light" w:cs="Calibri"/>
        </w:rPr>
        <w:t>,</w:t>
      </w:r>
      <w:r w:rsidR="0049765E" w:rsidRPr="00856A34">
        <w:rPr>
          <w:rFonts w:ascii="Roboto Light" w:eastAsia="Times New Roman" w:hAnsi="Roboto Light" w:cs="Calibri"/>
        </w:rPr>
        <w:t xml:space="preserve"> including infants with CHD and neuromuscular disease, </w:t>
      </w:r>
      <w:proofErr w:type="gramStart"/>
      <w:r w:rsidR="0049765E" w:rsidRPr="00856A34">
        <w:rPr>
          <w:rFonts w:ascii="Roboto Light" w:eastAsia="Times New Roman" w:hAnsi="Roboto Light" w:cs="Calibri"/>
        </w:rPr>
        <w:t>see</w:t>
      </w:r>
      <w:proofErr w:type="gramEnd"/>
      <w:r w:rsidR="0049765E" w:rsidRPr="00856A34">
        <w:rPr>
          <w:rFonts w:ascii="Roboto Light" w:eastAsia="Times New Roman" w:hAnsi="Roboto Light" w:cs="Calibri"/>
        </w:rPr>
        <w:t xml:space="preserve"> </w:t>
      </w:r>
    </w:p>
    <w:p w14:paraId="210D685D" w14:textId="25689EEF" w:rsidR="0049765E" w:rsidRPr="00856A34" w:rsidRDefault="00000000" w:rsidP="0049765E">
      <w:pPr>
        <w:rPr>
          <w:rFonts w:ascii="Roboto Light" w:eastAsia="Times New Roman" w:hAnsi="Roboto Light" w:cs="Calibri"/>
        </w:rPr>
      </w:pPr>
      <w:hyperlink r:id="rId7" w:history="1">
        <w:r w:rsidR="00A70D2D" w:rsidRPr="00856A34">
          <w:rPr>
            <w:rStyle w:val="Hyperlink"/>
            <w:rFonts w:ascii="Roboto Light" w:eastAsia="Times New Roman" w:hAnsi="Roboto Light" w:cs="Calibri"/>
          </w:rPr>
          <w:t>https://pediatrics.aappublications.org/content/134/2/415.full</w:t>
        </w:r>
      </w:hyperlink>
    </w:p>
    <w:p w14:paraId="02BDF963" w14:textId="77777777" w:rsidR="00A70D2D" w:rsidRPr="00856A34" w:rsidRDefault="00A70D2D" w:rsidP="0049765E">
      <w:pPr>
        <w:rPr>
          <w:rFonts w:ascii="Roboto Light" w:eastAsia="Times New Roman" w:hAnsi="Roboto Light" w:cs="Calibri"/>
        </w:rPr>
      </w:pPr>
    </w:p>
    <w:p w14:paraId="6A5A20BF" w14:textId="33B56299" w:rsidR="00FE2F1A" w:rsidRPr="00FE2F1A" w:rsidRDefault="0049765E" w:rsidP="00FE2F1A">
      <w:pPr>
        <w:rPr>
          <w:rFonts w:ascii="Times New Roman" w:eastAsia="Times New Roman" w:hAnsi="Times New Roman" w:cs="Times New Roman"/>
        </w:rPr>
      </w:pPr>
      <w:r w:rsidRPr="00921CFA">
        <w:rPr>
          <w:rFonts w:ascii="Roboto" w:eastAsia="Times New Roman" w:hAnsi="Roboto" w:cs="Calibri"/>
          <w:b/>
          <w:bCs/>
          <w:u w:val="single"/>
        </w:rPr>
        <w:t>Developmental Screening:</w:t>
      </w:r>
      <w:r w:rsidRPr="00856A34">
        <w:rPr>
          <w:rFonts w:ascii="Roboto Light" w:eastAsia="Times New Roman" w:hAnsi="Roboto Light" w:cs="Calibri"/>
        </w:rPr>
        <w:t xml:space="preserve">  </w:t>
      </w:r>
      <w:r w:rsidR="00696D6B" w:rsidRPr="00856A34">
        <w:rPr>
          <w:rFonts w:ascii="Roboto Light" w:eastAsia="Times New Roman" w:hAnsi="Roboto Light" w:cs="Calibri"/>
        </w:rPr>
        <w:t>Perform a</w:t>
      </w:r>
      <w:r w:rsidRPr="00856A34">
        <w:rPr>
          <w:rFonts w:ascii="Roboto Light" w:eastAsia="Times New Roman" w:hAnsi="Roboto Light" w:cs="Calibri"/>
        </w:rPr>
        <w:t>t every WCC visit.  Use evidence</w:t>
      </w:r>
      <w:r w:rsidR="000E0CA4" w:rsidRPr="00856A34">
        <w:rPr>
          <w:rFonts w:ascii="Roboto Light" w:eastAsia="Times New Roman" w:hAnsi="Roboto Light" w:cs="Calibri"/>
        </w:rPr>
        <w:t>-</w:t>
      </w:r>
      <w:r w:rsidRPr="00856A34">
        <w:rPr>
          <w:rFonts w:ascii="Roboto Light" w:eastAsia="Times New Roman" w:hAnsi="Roboto Light" w:cs="Calibri"/>
        </w:rPr>
        <w:t xml:space="preserve">based tools at 9, 18, </w:t>
      </w:r>
      <w:r w:rsidR="00074699">
        <w:rPr>
          <w:rFonts w:ascii="Roboto Light" w:eastAsia="Times New Roman" w:hAnsi="Roboto Light" w:cs="Calibri"/>
        </w:rPr>
        <w:t xml:space="preserve">and </w:t>
      </w:r>
      <w:r w:rsidRPr="00856A34">
        <w:rPr>
          <w:rFonts w:ascii="Roboto Light" w:eastAsia="Times New Roman" w:hAnsi="Roboto Light" w:cs="Calibri"/>
        </w:rPr>
        <w:t>30 months.</w:t>
      </w:r>
      <w:r w:rsidR="000E0CA4" w:rsidRPr="00856A34">
        <w:rPr>
          <w:rFonts w:ascii="Roboto Light" w:eastAsia="Times New Roman" w:hAnsi="Roboto Light" w:cs="Calibri"/>
        </w:rPr>
        <w:t xml:space="preserve"> Infants at high risk for developmental delays or with documented developmental delays should be referred to an Early Intervention Program</w:t>
      </w:r>
      <w:r w:rsidR="004F1775" w:rsidRPr="00856A34">
        <w:rPr>
          <w:rFonts w:ascii="Roboto Light" w:eastAsia="Times New Roman" w:hAnsi="Roboto Light" w:cs="Calibri"/>
        </w:rPr>
        <w:t xml:space="preserve">.  Contact information </w:t>
      </w:r>
      <w:r w:rsidR="004F1775" w:rsidRPr="00F80497">
        <w:rPr>
          <w:rFonts w:ascii="Roboto Light" w:eastAsia="Times New Roman" w:hAnsi="Roboto Light" w:cs="Calibri"/>
          <w:highlight w:val="lightGray"/>
        </w:rPr>
        <w:t>***.</w:t>
      </w:r>
      <w:r w:rsidR="00FE2F1A">
        <w:rPr>
          <w:rFonts w:ascii="Roboto Light" w:eastAsia="Times New Roman" w:hAnsi="Roboto Light" w:cs="Calibri"/>
        </w:rPr>
        <w:t xml:space="preserve"> </w:t>
      </w:r>
      <w:r w:rsidR="00FE2F1A" w:rsidRPr="00FE2F1A">
        <w:rPr>
          <w:rFonts w:ascii="Calibri" w:eastAsia="Times New Roman" w:hAnsi="Calibri" w:cs="Calibri"/>
          <w:color w:val="000000"/>
        </w:rPr>
        <w:t> </w:t>
      </w:r>
      <w:r w:rsidR="00FE2F1A" w:rsidRPr="00FE2F1A">
        <w:rPr>
          <w:rFonts w:ascii="Roboto Light" w:eastAsia="Times New Roman" w:hAnsi="Roboto Light" w:cs="Calibri"/>
        </w:rPr>
        <w:t xml:space="preserve">Consider referrals for additional evaluations and services such as </w:t>
      </w:r>
      <w:proofErr w:type="gramStart"/>
      <w:r w:rsidR="00FE2F1A" w:rsidRPr="00FE2F1A">
        <w:rPr>
          <w:rFonts w:ascii="Roboto Light" w:eastAsia="Times New Roman" w:hAnsi="Roboto Light" w:cs="Calibri"/>
        </w:rPr>
        <w:t>high</w:t>
      </w:r>
      <w:r w:rsidR="00FE2F1A">
        <w:rPr>
          <w:rFonts w:ascii="Roboto Light" w:eastAsia="Times New Roman" w:hAnsi="Roboto Light" w:cs="Calibri"/>
        </w:rPr>
        <w:t xml:space="preserve"> </w:t>
      </w:r>
      <w:r w:rsidR="00FE2F1A" w:rsidRPr="00FE2F1A">
        <w:rPr>
          <w:rFonts w:ascii="Roboto Light" w:eastAsia="Times New Roman" w:hAnsi="Roboto Light" w:cs="Calibri"/>
        </w:rPr>
        <w:t>risk</w:t>
      </w:r>
      <w:proofErr w:type="gramEnd"/>
      <w:r w:rsidR="00FE2F1A" w:rsidRPr="00FE2F1A">
        <w:rPr>
          <w:rFonts w:ascii="Roboto Light" w:eastAsia="Times New Roman" w:hAnsi="Roboto Light" w:cs="Calibri"/>
        </w:rPr>
        <w:t xml:space="preserve"> infant follow</w:t>
      </w:r>
      <w:r w:rsidR="00FE2F1A">
        <w:rPr>
          <w:rFonts w:ascii="Roboto Light" w:eastAsia="Times New Roman" w:hAnsi="Roboto Light" w:cs="Calibri"/>
        </w:rPr>
        <w:t>-</w:t>
      </w:r>
      <w:r w:rsidR="00FE2F1A" w:rsidRPr="00FE2F1A">
        <w:rPr>
          <w:rFonts w:ascii="Roboto Light" w:eastAsia="Times New Roman" w:hAnsi="Roboto Light" w:cs="Calibri"/>
        </w:rPr>
        <w:t>up programs and neurology.</w:t>
      </w:r>
    </w:p>
    <w:p w14:paraId="39A60640" w14:textId="77777777" w:rsidR="00A70D2D" w:rsidRPr="00856A34" w:rsidRDefault="00A70D2D" w:rsidP="0049765E">
      <w:pPr>
        <w:rPr>
          <w:rFonts w:ascii="Roboto Light" w:eastAsia="Times New Roman" w:hAnsi="Roboto Light" w:cs="Calibri"/>
        </w:rPr>
      </w:pPr>
    </w:p>
    <w:p w14:paraId="0E752377" w14:textId="099CFCBE" w:rsidR="0049765E" w:rsidRPr="00856A34" w:rsidRDefault="0049765E" w:rsidP="0049765E">
      <w:pPr>
        <w:rPr>
          <w:rFonts w:ascii="Roboto Light" w:eastAsia="Times New Roman" w:hAnsi="Roboto Light" w:cs="Calibri"/>
        </w:rPr>
      </w:pPr>
      <w:r w:rsidRPr="00921CFA">
        <w:rPr>
          <w:rFonts w:ascii="Roboto" w:eastAsia="Times New Roman" w:hAnsi="Roboto" w:cs="Calibri"/>
          <w:b/>
          <w:bCs/>
          <w:u w:val="single"/>
        </w:rPr>
        <w:t>Hearing Screening:  </w:t>
      </w:r>
      <w:r w:rsidRPr="00856A34">
        <w:rPr>
          <w:rFonts w:ascii="Roboto Light" w:eastAsia="Times New Roman" w:hAnsi="Roboto Light" w:cs="Calibri"/>
        </w:rPr>
        <w:t xml:space="preserve">ABR screening (such as ALGO) prior to discharge. If initial screen was not passed, repeat outpatient screening as quickly as possible and by one month of age. If initial screen was normal, repeat hearing screening by </w:t>
      </w:r>
      <w:r w:rsidR="006D7FEF">
        <w:rPr>
          <w:rFonts w:ascii="Roboto Light" w:eastAsia="Times New Roman" w:hAnsi="Roboto Light" w:cs="Calibri"/>
        </w:rPr>
        <w:t>9</w:t>
      </w:r>
      <w:r w:rsidRPr="00856A34">
        <w:rPr>
          <w:rFonts w:ascii="Roboto Light" w:eastAsia="Times New Roman" w:hAnsi="Roboto Light" w:cs="Calibri"/>
        </w:rPr>
        <w:t xml:space="preserve"> months.  Audiology referral advised at any time for concerns or language delays.</w:t>
      </w:r>
      <w:r w:rsidR="000E0CA4" w:rsidRPr="00856A34">
        <w:rPr>
          <w:rFonts w:ascii="Roboto Light" w:eastAsia="Times New Roman" w:hAnsi="Roboto Light" w:cs="Calibri"/>
        </w:rPr>
        <w:t xml:space="preserve"> To schedule an audiology appointment at </w:t>
      </w:r>
      <w:r w:rsidR="000E0CA4" w:rsidRPr="00F80497">
        <w:rPr>
          <w:rFonts w:ascii="Roboto Light" w:eastAsia="Times New Roman" w:hAnsi="Roboto Light" w:cs="Calibri"/>
          <w:highlight w:val="lightGray"/>
        </w:rPr>
        <w:t>***,</w:t>
      </w:r>
      <w:r w:rsidR="000E0CA4" w:rsidRPr="00856A34">
        <w:rPr>
          <w:rFonts w:ascii="Roboto Light" w:eastAsia="Times New Roman" w:hAnsi="Roboto Light" w:cs="Calibri"/>
        </w:rPr>
        <w:t xml:space="preserve"> please call </w:t>
      </w:r>
      <w:r w:rsidR="000E0CA4" w:rsidRPr="00F80497">
        <w:rPr>
          <w:rFonts w:ascii="Roboto Light" w:eastAsia="Times New Roman" w:hAnsi="Roboto Light" w:cs="Calibri"/>
          <w:highlight w:val="lightGray"/>
        </w:rPr>
        <w:t>***.</w:t>
      </w:r>
    </w:p>
    <w:p w14:paraId="314A8D68" w14:textId="77777777" w:rsidR="00A70D2D" w:rsidRPr="00856A34" w:rsidRDefault="00A70D2D" w:rsidP="0049765E">
      <w:pPr>
        <w:rPr>
          <w:rFonts w:ascii="Roboto Light" w:eastAsia="Times New Roman" w:hAnsi="Roboto Light" w:cs="Calibri"/>
        </w:rPr>
      </w:pPr>
    </w:p>
    <w:p w14:paraId="3EDE397D" w14:textId="71EF291E" w:rsidR="0049765E" w:rsidRPr="00856A34" w:rsidRDefault="0049765E" w:rsidP="0049765E">
      <w:pPr>
        <w:rPr>
          <w:rFonts w:ascii="Roboto Light" w:eastAsia="Times New Roman" w:hAnsi="Roboto Light" w:cs="Calibri"/>
        </w:rPr>
      </w:pPr>
      <w:r w:rsidRPr="00921CFA">
        <w:rPr>
          <w:rFonts w:ascii="Roboto" w:eastAsia="Times New Roman" w:hAnsi="Roboto" w:cs="Calibri"/>
          <w:b/>
          <w:bCs/>
          <w:u w:val="single"/>
        </w:rPr>
        <w:t xml:space="preserve">Ophthalmologic Screening: </w:t>
      </w:r>
      <w:r w:rsidRPr="00856A34">
        <w:rPr>
          <w:rFonts w:ascii="Roboto Light" w:eastAsia="Times New Roman" w:hAnsi="Roboto Light" w:cs="Calibri"/>
        </w:rPr>
        <w:t xml:space="preserve"> Monitor for ROP until mature retinae for GA&lt;30 weeks or &lt;1500 g or selected infants 1500-2000 g or GA &gt;30weeks.  For all, follow up at 4-6 months after </w:t>
      </w:r>
      <w:r w:rsidR="004A24A1" w:rsidRPr="00856A34">
        <w:rPr>
          <w:rFonts w:ascii="Roboto Light" w:eastAsia="Times New Roman" w:hAnsi="Roboto Light" w:cs="Calibri"/>
        </w:rPr>
        <w:t xml:space="preserve">NICU </w:t>
      </w:r>
      <w:r w:rsidRPr="00856A34">
        <w:rPr>
          <w:rFonts w:ascii="Roboto Light" w:eastAsia="Times New Roman" w:hAnsi="Roboto Light" w:cs="Calibri"/>
        </w:rPr>
        <w:t>discharge and yearly.</w:t>
      </w:r>
      <w:r w:rsidR="000E0CA4" w:rsidRPr="00856A34">
        <w:rPr>
          <w:rFonts w:ascii="Roboto Light" w:eastAsia="Times New Roman" w:hAnsi="Roboto Light" w:cs="Calibri"/>
        </w:rPr>
        <w:t xml:space="preserve">  To schedule an ophthalmology appointment at </w:t>
      </w:r>
      <w:r w:rsidR="000E0CA4" w:rsidRPr="00F80497">
        <w:rPr>
          <w:rFonts w:ascii="Roboto Light" w:eastAsia="Times New Roman" w:hAnsi="Roboto Light" w:cs="Calibri"/>
          <w:highlight w:val="lightGray"/>
        </w:rPr>
        <w:t>***,</w:t>
      </w:r>
      <w:r w:rsidR="000E0CA4" w:rsidRPr="00856A34">
        <w:rPr>
          <w:rFonts w:ascii="Roboto Light" w:eastAsia="Times New Roman" w:hAnsi="Roboto Light" w:cs="Calibri"/>
        </w:rPr>
        <w:t xml:space="preserve"> please call </w:t>
      </w:r>
      <w:r w:rsidR="000E0CA4" w:rsidRPr="00F80497">
        <w:rPr>
          <w:rFonts w:ascii="Roboto Light" w:eastAsia="Times New Roman" w:hAnsi="Roboto Light" w:cs="Calibri"/>
          <w:highlight w:val="lightGray"/>
        </w:rPr>
        <w:t>***.</w:t>
      </w:r>
    </w:p>
    <w:p w14:paraId="141FA58D" w14:textId="77777777" w:rsidR="00A70D2D" w:rsidRPr="00856A34" w:rsidRDefault="00A70D2D" w:rsidP="0049765E">
      <w:pPr>
        <w:rPr>
          <w:rFonts w:ascii="Roboto Light" w:eastAsia="Times New Roman" w:hAnsi="Roboto Light" w:cs="Calibri"/>
        </w:rPr>
      </w:pPr>
    </w:p>
    <w:p w14:paraId="6E503F28" w14:textId="3D11612A" w:rsidR="0049765E" w:rsidRPr="00856A34" w:rsidRDefault="0049765E" w:rsidP="0049765E">
      <w:pPr>
        <w:rPr>
          <w:rFonts w:ascii="Roboto Light" w:eastAsia="Times New Roman" w:hAnsi="Roboto Light" w:cs="Calibri"/>
        </w:rPr>
      </w:pPr>
      <w:r w:rsidRPr="00921CFA">
        <w:rPr>
          <w:rFonts w:ascii="Roboto" w:eastAsia="Times New Roman" w:hAnsi="Roboto" w:cs="Calibri"/>
          <w:b/>
          <w:bCs/>
          <w:u w:val="single"/>
        </w:rPr>
        <w:t>Psychosocial Screening:</w:t>
      </w:r>
      <w:r w:rsidRPr="00856A34">
        <w:rPr>
          <w:rFonts w:ascii="Roboto Light" w:eastAsia="Times New Roman" w:hAnsi="Roboto Light" w:cs="Calibri"/>
        </w:rPr>
        <w:t xml:space="preserve"> </w:t>
      </w:r>
      <w:r w:rsidR="00AF35B6" w:rsidRPr="00856A34">
        <w:rPr>
          <w:rFonts w:ascii="Roboto Light" w:eastAsia="Times New Roman" w:hAnsi="Roboto Light" w:cs="Calibri"/>
        </w:rPr>
        <w:t>Perform a</w:t>
      </w:r>
      <w:r w:rsidRPr="00856A34">
        <w:rPr>
          <w:rFonts w:ascii="Roboto Light" w:eastAsia="Times New Roman" w:hAnsi="Roboto Light" w:cs="Calibri"/>
        </w:rPr>
        <w:t>t every WCC and other visits as feasible.</w:t>
      </w:r>
      <w:r w:rsidR="000E0CA4" w:rsidRPr="00856A34">
        <w:rPr>
          <w:rFonts w:ascii="Roboto Light" w:eastAsia="Times New Roman" w:hAnsi="Roboto Light" w:cs="Calibri"/>
        </w:rPr>
        <w:t xml:space="preserve"> Resources for families include </w:t>
      </w:r>
      <w:r w:rsidR="000E0CA4" w:rsidRPr="00F80497">
        <w:rPr>
          <w:rFonts w:ascii="Roboto Light" w:eastAsia="Times New Roman" w:hAnsi="Roboto Light" w:cs="Calibri"/>
          <w:highlight w:val="lightGray"/>
        </w:rPr>
        <w:t>***.</w:t>
      </w:r>
    </w:p>
    <w:p w14:paraId="1793DE11" w14:textId="5F4AD848" w:rsidR="000E0CA4" w:rsidRDefault="000E0CA4" w:rsidP="0049765E">
      <w:pPr>
        <w:rPr>
          <w:rFonts w:ascii="Roboto Light" w:eastAsia="Times New Roman" w:hAnsi="Roboto Light" w:cs="Calibri"/>
        </w:rPr>
      </w:pPr>
    </w:p>
    <w:p w14:paraId="72049410" w14:textId="576AEBB6" w:rsidR="00D2609E" w:rsidRDefault="00D2609E" w:rsidP="0049765E">
      <w:pPr>
        <w:rPr>
          <w:rFonts w:ascii="Roboto Light" w:eastAsia="Times New Roman" w:hAnsi="Roboto Light" w:cs="Calibri"/>
        </w:rPr>
      </w:pPr>
      <w:r w:rsidRPr="00D2609E">
        <w:rPr>
          <w:rFonts w:ascii="Roboto" w:eastAsia="Times New Roman" w:hAnsi="Roboto" w:cs="Calibri"/>
          <w:b/>
          <w:bCs/>
          <w:noProof/>
          <w:u w:val="single"/>
        </w:rPr>
        <mc:AlternateContent>
          <mc:Choice Requires="wps">
            <w:drawing>
              <wp:anchor distT="0" distB="0" distL="114300" distR="114300" simplePos="0" relativeHeight="251660288" behindDoc="0" locked="0" layoutInCell="1" allowOverlap="1" wp14:anchorId="798CB335" wp14:editId="6976094D">
                <wp:simplePos x="0" y="0"/>
                <wp:positionH relativeFrom="column">
                  <wp:posOffset>-613</wp:posOffset>
                </wp:positionH>
                <wp:positionV relativeFrom="paragraph">
                  <wp:posOffset>11626</wp:posOffset>
                </wp:positionV>
                <wp:extent cx="6134100" cy="1028700"/>
                <wp:effectExtent l="12700" t="12700" r="12700" b="12700"/>
                <wp:wrapNone/>
                <wp:docPr id="2" name="Text Box 2"/>
                <wp:cNvGraphicFramePr/>
                <a:graphic xmlns:a="http://schemas.openxmlformats.org/drawingml/2006/main">
                  <a:graphicData uri="http://schemas.microsoft.com/office/word/2010/wordprocessingShape">
                    <wps:wsp>
                      <wps:cNvSpPr txBox="1"/>
                      <wps:spPr>
                        <a:xfrm>
                          <a:off x="0" y="0"/>
                          <a:ext cx="6134100" cy="1028700"/>
                        </a:xfrm>
                        <a:prstGeom prst="rect">
                          <a:avLst/>
                        </a:prstGeom>
                        <a:solidFill>
                          <a:schemeClr val="lt1"/>
                        </a:solidFill>
                        <a:ln w="19050">
                          <a:solidFill>
                            <a:schemeClr val="bg1">
                              <a:lumMod val="85000"/>
                            </a:schemeClr>
                          </a:solidFill>
                        </a:ln>
                      </wps:spPr>
                      <wps:txbx>
                        <w:txbxContent>
                          <w:p w14:paraId="1AF9CBC9" w14:textId="4B919116" w:rsidR="00D53670" w:rsidRPr="00D53670" w:rsidRDefault="00D53670" w:rsidP="004B239E">
                            <w:pPr>
                              <w:spacing w:before="120"/>
                              <w:jc w:val="center"/>
                              <w:rPr>
                                <w:rFonts w:ascii="Roboto Light" w:eastAsia="Times New Roman" w:hAnsi="Roboto Light" w:cs="Calibri"/>
                                <w:b/>
                                <w:bCs/>
                                <w:u w:val="single"/>
                              </w:rPr>
                            </w:pPr>
                            <w:r w:rsidRPr="00D53670">
                              <w:rPr>
                                <w:rFonts w:ascii="Roboto Light" w:eastAsia="Times New Roman" w:hAnsi="Roboto Light" w:cs="Calibri"/>
                                <w:b/>
                                <w:bCs/>
                                <w:u w:val="single"/>
                              </w:rPr>
                              <w:t xml:space="preserve">For </w:t>
                            </w:r>
                            <w:r w:rsidR="003925A3">
                              <w:rPr>
                                <w:rFonts w:ascii="Roboto Light" w:eastAsia="Times New Roman" w:hAnsi="Roboto Light" w:cs="Calibri"/>
                                <w:b/>
                                <w:bCs/>
                                <w:u w:val="single"/>
                              </w:rPr>
                              <w:t>A</w:t>
                            </w:r>
                            <w:r w:rsidRPr="00D53670">
                              <w:rPr>
                                <w:rFonts w:ascii="Roboto Light" w:eastAsia="Times New Roman" w:hAnsi="Roboto Light" w:cs="Calibri"/>
                                <w:b/>
                                <w:bCs/>
                                <w:u w:val="single"/>
                              </w:rPr>
                              <w:t xml:space="preserve">dditional </w:t>
                            </w:r>
                            <w:r w:rsidR="00D2609E">
                              <w:rPr>
                                <w:rFonts w:ascii="Roboto Light" w:eastAsia="Times New Roman" w:hAnsi="Roboto Light" w:cs="Calibri"/>
                                <w:b/>
                                <w:bCs/>
                                <w:u w:val="single"/>
                              </w:rPr>
                              <w:t>Guidance</w:t>
                            </w:r>
                          </w:p>
                          <w:p w14:paraId="4FD1151B" w14:textId="77777777" w:rsidR="00D53670" w:rsidRDefault="00D53670" w:rsidP="00D53670">
                            <w:pPr>
                              <w:rPr>
                                <w:rFonts w:ascii="Roboto Light" w:eastAsia="Times New Roman" w:hAnsi="Roboto Light" w:cs="Calibri"/>
                              </w:rPr>
                            </w:pPr>
                          </w:p>
                          <w:p w14:paraId="517760AB" w14:textId="040C9001" w:rsidR="00D53670" w:rsidRDefault="00D53670" w:rsidP="004B239E">
                            <w:pPr>
                              <w:jc w:val="center"/>
                              <w:rPr>
                                <w:rFonts w:ascii="Roboto Light" w:eastAsia="Times New Roman" w:hAnsi="Roboto Light" w:cs="Calibri"/>
                              </w:rPr>
                            </w:pPr>
                            <w:r>
                              <w:rPr>
                                <w:rFonts w:ascii="Roboto Light" w:eastAsia="Times New Roman" w:hAnsi="Roboto Light" w:cs="Calibri"/>
                              </w:rPr>
                              <w:t>P</w:t>
                            </w:r>
                            <w:r w:rsidRPr="00856A34">
                              <w:rPr>
                                <w:rFonts w:ascii="Roboto Light" w:eastAsia="Times New Roman" w:hAnsi="Roboto Light" w:cs="Calibri"/>
                              </w:rPr>
                              <w:t xml:space="preserve">lease </w:t>
                            </w:r>
                            <w:r w:rsidR="004B239E">
                              <w:rPr>
                                <w:rFonts w:ascii="Roboto Light" w:eastAsia="Times New Roman" w:hAnsi="Roboto Light" w:cs="Calibri"/>
                              </w:rPr>
                              <w:t xml:space="preserve">refer to the </w:t>
                            </w:r>
                            <w:r w:rsidR="00F80497">
                              <w:rPr>
                                <w:rFonts w:ascii="Roboto Light" w:eastAsia="Times New Roman" w:hAnsi="Roboto Light" w:cs="Calibri"/>
                              </w:rPr>
                              <w:t xml:space="preserve">CPQCC </w:t>
                            </w:r>
                            <w:r w:rsidR="004B239E">
                              <w:rPr>
                                <w:rFonts w:ascii="Roboto Light" w:eastAsia="Times New Roman" w:hAnsi="Roboto Light" w:cs="Calibri"/>
                              </w:rPr>
                              <w:t>Primary Care for Premature Infants &amp; Children Toolkit available at:</w:t>
                            </w:r>
                            <w:r w:rsidRPr="00856A34">
                              <w:rPr>
                                <w:rFonts w:ascii="Roboto Light" w:eastAsia="Times New Roman" w:hAnsi="Roboto Light" w:cs="Calibri"/>
                              </w:rPr>
                              <w:t xml:space="preserve"> </w:t>
                            </w:r>
                            <w:hyperlink r:id="rId8" w:history="1">
                              <w:r w:rsidRPr="00FC40FE">
                                <w:rPr>
                                  <w:rStyle w:val="Hyperlink"/>
                                  <w:rFonts w:ascii="Roboto Light" w:eastAsia="Times New Roman" w:hAnsi="Roboto Light" w:cs="Calibri"/>
                                </w:rPr>
                                <w:t>https://www.cpqcc.org/preterm-primary-care-toolkit</w:t>
                              </w:r>
                            </w:hyperlink>
                            <w:r w:rsidR="004B239E">
                              <w:rPr>
                                <w:rFonts w:ascii="Roboto Light" w:eastAsia="Times New Roman" w:hAnsi="Roboto Light" w:cs="Calibri"/>
                              </w:rPr>
                              <w:t>.</w:t>
                            </w:r>
                          </w:p>
                          <w:p w14:paraId="2688A27A" w14:textId="77777777" w:rsidR="004B239E" w:rsidRDefault="004B239E" w:rsidP="004B239E">
                            <w:pPr>
                              <w:jc w:val="center"/>
                              <w:rPr>
                                <w:rFonts w:ascii="Roboto Light" w:eastAsia="Times New Roman" w:hAnsi="Roboto Light" w:cs="Calibri"/>
                              </w:rPr>
                            </w:pPr>
                          </w:p>
                          <w:p w14:paraId="1F1C138A" w14:textId="77777777" w:rsidR="00D53670" w:rsidRDefault="00D53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8CB335" id="_x0000_t202" coordsize="21600,21600" o:spt="202" path="m,l,21600r21600,l21600,xe">
                <v:stroke joinstyle="miter"/>
                <v:path gradientshapeok="t" o:connecttype="rect"/>
              </v:shapetype>
              <v:shape id="Text Box 2" o:spid="_x0000_s1026" type="#_x0000_t202" style="position:absolute;margin-left:-.05pt;margin-top:.9pt;width:483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" fillcolor="white [3201]" strokecolor="#d8d8d8 [2732]" strokeweight="1.5pt">
                <v:textbox>
                  <w:txbxContent>
                    <w:p w14:paraId="1AF9CBC9" w14:textId="4B919116" w:rsidR="00D53670" w:rsidRPr="00D53670" w:rsidRDefault="00D53670" w:rsidP="004B239E">
                      <w:pPr>
                        <w:spacing w:before="120"/>
                        <w:jc w:val="center"/>
                        <w:rPr>
                          <w:rFonts w:ascii="Roboto Light" w:eastAsia="Times New Roman" w:hAnsi="Roboto Light" w:cs="Calibri"/>
                          <w:b/>
                          <w:bCs/>
                          <w:u w:val="single"/>
                        </w:rPr>
                      </w:pPr>
                      <w:r w:rsidRPr="00D53670">
                        <w:rPr>
                          <w:rFonts w:ascii="Roboto Light" w:eastAsia="Times New Roman" w:hAnsi="Roboto Light" w:cs="Calibri"/>
                          <w:b/>
                          <w:bCs/>
                          <w:u w:val="single"/>
                        </w:rPr>
                        <w:t xml:space="preserve">For </w:t>
                      </w:r>
                      <w:r w:rsidR="003925A3">
                        <w:rPr>
                          <w:rFonts w:ascii="Roboto Light" w:eastAsia="Times New Roman" w:hAnsi="Roboto Light" w:cs="Calibri"/>
                          <w:b/>
                          <w:bCs/>
                          <w:u w:val="single"/>
                        </w:rPr>
                        <w:t>A</w:t>
                      </w:r>
                      <w:r w:rsidRPr="00D53670">
                        <w:rPr>
                          <w:rFonts w:ascii="Roboto Light" w:eastAsia="Times New Roman" w:hAnsi="Roboto Light" w:cs="Calibri"/>
                          <w:b/>
                          <w:bCs/>
                          <w:u w:val="single"/>
                        </w:rPr>
                        <w:t xml:space="preserve">dditional </w:t>
                      </w:r>
                      <w:r w:rsidR="00D2609E">
                        <w:rPr>
                          <w:rFonts w:ascii="Roboto Light" w:eastAsia="Times New Roman" w:hAnsi="Roboto Light" w:cs="Calibri"/>
                          <w:b/>
                          <w:bCs/>
                          <w:u w:val="single"/>
                        </w:rPr>
                        <w:t>Guidance</w:t>
                      </w:r>
                    </w:p>
                    <w:p w14:paraId="4FD1151B" w14:textId="77777777" w:rsidR="00D53670" w:rsidRDefault="00D53670" w:rsidP="00D53670">
                      <w:pPr>
                        <w:rPr>
                          <w:rFonts w:ascii="Roboto Light" w:eastAsia="Times New Roman" w:hAnsi="Roboto Light" w:cs="Calibri"/>
                        </w:rPr>
                      </w:pPr>
                    </w:p>
                    <w:p w14:paraId="517760AB" w14:textId="040C9001" w:rsidR="00D53670" w:rsidRDefault="00D53670" w:rsidP="004B239E">
                      <w:pPr>
                        <w:jc w:val="center"/>
                        <w:rPr>
                          <w:rFonts w:ascii="Roboto Light" w:eastAsia="Times New Roman" w:hAnsi="Roboto Light" w:cs="Calibri"/>
                        </w:rPr>
                      </w:pPr>
                      <w:r>
                        <w:rPr>
                          <w:rFonts w:ascii="Roboto Light" w:eastAsia="Times New Roman" w:hAnsi="Roboto Light" w:cs="Calibri"/>
                        </w:rPr>
                        <w:t>P</w:t>
                      </w:r>
                      <w:r w:rsidRPr="00856A34">
                        <w:rPr>
                          <w:rFonts w:ascii="Roboto Light" w:eastAsia="Times New Roman" w:hAnsi="Roboto Light" w:cs="Calibri"/>
                        </w:rPr>
                        <w:t xml:space="preserve">lease </w:t>
                      </w:r>
                      <w:r w:rsidR="004B239E">
                        <w:rPr>
                          <w:rFonts w:ascii="Roboto Light" w:eastAsia="Times New Roman" w:hAnsi="Roboto Light" w:cs="Calibri"/>
                        </w:rPr>
                        <w:t xml:space="preserve">refer to the </w:t>
                      </w:r>
                      <w:r w:rsidR="00F80497">
                        <w:rPr>
                          <w:rFonts w:ascii="Roboto Light" w:eastAsia="Times New Roman" w:hAnsi="Roboto Light" w:cs="Calibri"/>
                        </w:rPr>
                        <w:t xml:space="preserve">CPQCC </w:t>
                      </w:r>
                      <w:r w:rsidR="004B239E">
                        <w:rPr>
                          <w:rFonts w:ascii="Roboto Light" w:eastAsia="Times New Roman" w:hAnsi="Roboto Light" w:cs="Calibri"/>
                        </w:rPr>
                        <w:t>Primary Care for Premature Infants &amp; Children Toolkit available at:</w:t>
                      </w:r>
                      <w:r w:rsidRPr="00856A34">
                        <w:rPr>
                          <w:rFonts w:ascii="Roboto Light" w:eastAsia="Times New Roman" w:hAnsi="Roboto Light" w:cs="Calibri"/>
                        </w:rPr>
                        <w:t xml:space="preserve"> </w:t>
                      </w:r>
                      <w:hyperlink r:id="rId9" w:history="1">
                        <w:r w:rsidRPr="00FC40FE">
                          <w:rPr>
                            <w:rStyle w:val="Hyperlink"/>
                            <w:rFonts w:ascii="Roboto Light" w:eastAsia="Times New Roman" w:hAnsi="Roboto Light" w:cs="Calibri"/>
                          </w:rPr>
                          <w:t>https://www.cpqcc.org/preterm-primary-care-toolkit</w:t>
                        </w:r>
                      </w:hyperlink>
                      <w:r w:rsidR="004B239E">
                        <w:rPr>
                          <w:rFonts w:ascii="Roboto Light" w:eastAsia="Times New Roman" w:hAnsi="Roboto Light" w:cs="Calibri"/>
                        </w:rPr>
                        <w:t>.</w:t>
                      </w:r>
                    </w:p>
                    <w:p w14:paraId="2688A27A" w14:textId="77777777" w:rsidR="004B239E" w:rsidRDefault="004B239E" w:rsidP="004B239E">
                      <w:pPr>
                        <w:jc w:val="center"/>
                        <w:rPr>
                          <w:rFonts w:ascii="Roboto Light" w:eastAsia="Times New Roman" w:hAnsi="Roboto Light" w:cs="Calibri"/>
                        </w:rPr>
                      </w:pPr>
                    </w:p>
                    <w:p w14:paraId="1F1C138A" w14:textId="77777777" w:rsidR="00D53670" w:rsidRDefault="00D53670"/>
                  </w:txbxContent>
                </v:textbox>
              </v:shape>
            </w:pict>
          </mc:Fallback>
        </mc:AlternateContent>
      </w:r>
    </w:p>
    <w:p w14:paraId="0CA5819E" w14:textId="603C578C" w:rsidR="00D2609E" w:rsidRDefault="00D2609E" w:rsidP="0049765E">
      <w:pPr>
        <w:rPr>
          <w:rFonts w:ascii="Roboto Light" w:eastAsia="Times New Roman" w:hAnsi="Roboto Light" w:cs="Calibri"/>
        </w:rPr>
      </w:pPr>
    </w:p>
    <w:p w14:paraId="3D4A0FBA" w14:textId="25ACDD39" w:rsidR="00D2609E" w:rsidRDefault="00D2609E" w:rsidP="0049765E">
      <w:pPr>
        <w:rPr>
          <w:rFonts w:ascii="Roboto Light" w:eastAsia="Times New Roman" w:hAnsi="Roboto Light" w:cs="Calibri"/>
        </w:rPr>
      </w:pPr>
    </w:p>
    <w:p w14:paraId="73AFAAD9" w14:textId="642E7FC1" w:rsidR="00D2609E" w:rsidRDefault="00D2609E" w:rsidP="0049765E">
      <w:pPr>
        <w:rPr>
          <w:rFonts w:ascii="Roboto Light" w:eastAsia="Times New Roman" w:hAnsi="Roboto Light" w:cs="Calibri"/>
        </w:rPr>
      </w:pPr>
    </w:p>
    <w:p w14:paraId="137147E2" w14:textId="3BA4C3AF" w:rsidR="00D2609E" w:rsidRDefault="00D2609E" w:rsidP="0049765E">
      <w:pPr>
        <w:rPr>
          <w:rFonts w:ascii="Roboto Light" w:eastAsia="Times New Roman" w:hAnsi="Roboto Light" w:cs="Calibri"/>
        </w:rPr>
      </w:pPr>
    </w:p>
    <w:p w14:paraId="6372DE7A" w14:textId="65995355" w:rsidR="00D2609E" w:rsidRDefault="00D2609E" w:rsidP="0049765E">
      <w:pPr>
        <w:rPr>
          <w:rFonts w:ascii="Roboto Light" w:eastAsia="Times New Roman" w:hAnsi="Roboto Light" w:cs="Calibri"/>
        </w:rPr>
      </w:pPr>
    </w:p>
    <w:p w14:paraId="461EBE05" w14:textId="77777777" w:rsidR="00D2609E" w:rsidRPr="00856A34" w:rsidRDefault="00D2609E" w:rsidP="0049765E">
      <w:pPr>
        <w:rPr>
          <w:rFonts w:ascii="Roboto Light" w:eastAsia="Times New Roman" w:hAnsi="Roboto Light" w:cs="Calibri"/>
        </w:rPr>
      </w:pPr>
    </w:p>
    <w:p w14:paraId="02681096" w14:textId="516EEA41" w:rsidR="001C4BB1" w:rsidRDefault="00D2609E" w:rsidP="00D2609E">
      <w:pPr>
        <w:spacing w:before="120"/>
        <w:rPr>
          <w:rFonts w:ascii="Roboto" w:eastAsia="Times New Roman" w:hAnsi="Roboto" w:cs="Calibri"/>
          <w:b/>
          <w:bCs/>
          <w:u w:val="single"/>
        </w:rPr>
      </w:pPr>
      <w:r>
        <w:rPr>
          <w:rFonts w:ascii="Roboto Light" w:eastAsia="Times New Roman" w:hAnsi="Roboto Light" w:cs="Calibri"/>
          <w:noProof/>
          <w:sz w:val="22"/>
          <w:szCs w:val="22"/>
        </w:rPr>
        <mc:AlternateContent>
          <mc:Choice Requires="wps">
            <w:drawing>
              <wp:anchor distT="0" distB="0" distL="114300" distR="114300" simplePos="0" relativeHeight="251666432" behindDoc="0" locked="0" layoutInCell="1" allowOverlap="1" wp14:anchorId="0A594458" wp14:editId="27CE2CC4">
                <wp:simplePos x="0" y="0"/>
                <wp:positionH relativeFrom="column">
                  <wp:posOffset>0</wp:posOffset>
                </wp:positionH>
                <wp:positionV relativeFrom="paragraph">
                  <wp:posOffset>-635</wp:posOffset>
                </wp:positionV>
                <wp:extent cx="6096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8162C"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" strokecolor="#d8d8d8 [2732]" strokeweight=".5pt">
                <v:stroke joinstyle="miter"/>
              </v:line>
            </w:pict>
          </mc:Fallback>
        </mc:AlternateContent>
      </w:r>
      <w:r>
        <w:rPr>
          <w:rFonts w:ascii="Roboto" w:eastAsia="Times New Roman" w:hAnsi="Roboto" w:cs="Calibri"/>
          <w:b/>
          <w:bCs/>
          <w:u w:val="single"/>
        </w:rPr>
        <w:t>Additional Information</w:t>
      </w:r>
    </w:p>
    <w:p w14:paraId="75720A26" w14:textId="5E54BF9E" w:rsidR="00D2609E" w:rsidRDefault="00D2609E" w:rsidP="00D2609E">
      <w:pPr>
        <w:rPr>
          <w:rFonts w:ascii="Roboto Light" w:eastAsia="Times New Roman" w:hAnsi="Roboto Light" w:cs="Calibri"/>
        </w:rPr>
      </w:pPr>
    </w:p>
    <w:p w14:paraId="756AB248" w14:textId="60FB479C" w:rsidR="00D2609E" w:rsidRPr="00D2609E" w:rsidRDefault="00D2609E">
      <w:pPr>
        <w:rPr>
          <w:rFonts w:ascii="Roboto Light" w:eastAsia="Times New Roman" w:hAnsi="Roboto Light" w:cs="Calibri"/>
        </w:rPr>
      </w:pPr>
      <w:r w:rsidRPr="00785963">
        <w:rPr>
          <w:rFonts w:ascii="Roboto Light" w:eastAsia="Times New Roman" w:hAnsi="Roboto Light" w:cs="Calibri"/>
          <w:i/>
          <w:iCs/>
          <w:highlight w:val="lightGray"/>
        </w:rPr>
        <w:t>[</w:t>
      </w:r>
      <w:r w:rsidR="00E132A2" w:rsidRPr="00E132A2">
        <w:rPr>
          <w:rFonts w:ascii="Roboto Light" w:eastAsia="Times New Roman" w:hAnsi="Roboto Light" w:cs="Calibri"/>
          <w:i/>
          <w:iCs/>
          <w:highlight w:val="lightGray"/>
        </w:rPr>
        <w:t>Use the space below to enter your organizational contact info, additional instructions, and information or references specific to your institution.</w:t>
      </w:r>
      <w:r w:rsidR="00E132A2">
        <w:rPr>
          <w:rFonts w:ascii="Roboto Light" w:eastAsia="Times New Roman" w:hAnsi="Roboto Light" w:cs="Calibri"/>
          <w:i/>
          <w:iCs/>
          <w:highlight w:val="lightGray"/>
        </w:rPr>
        <w:t>]</w:t>
      </w:r>
    </w:p>
    <w:sectPr w:rsidR="00D2609E" w:rsidRPr="00D2609E" w:rsidSect="007B6CA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6CA9" w14:textId="77777777" w:rsidR="00AF35C1" w:rsidRDefault="00AF35C1" w:rsidP="004B239E">
      <w:r>
        <w:separator/>
      </w:r>
    </w:p>
  </w:endnote>
  <w:endnote w:type="continuationSeparator" w:id="0">
    <w:p w14:paraId="0B0E7E5C" w14:textId="77777777" w:rsidR="00AF35C1" w:rsidRDefault="00AF35C1" w:rsidP="004B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E76B" w14:textId="32F0B0C6" w:rsidR="004B239E" w:rsidRPr="004B239E" w:rsidRDefault="004B239E" w:rsidP="004B239E">
    <w:pPr>
      <w:pStyle w:val="Footer"/>
      <w:jc w:val="center"/>
      <w:rPr>
        <w:rFonts w:ascii="Roboto" w:hAnsi="Roboto"/>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EF9A" w14:textId="77777777" w:rsidR="00AF35C1" w:rsidRDefault="00AF35C1" w:rsidP="004B239E">
      <w:r>
        <w:separator/>
      </w:r>
    </w:p>
  </w:footnote>
  <w:footnote w:type="continuationSeparator" w:id="0">
    <w:p w14:paraId="50AA3692" w14:textId="77777777" w:rsidR="00AF35C1" w:rsidRDefault="00AF35C1" w:rsidP="004B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347A" w14:textId="4EA2E918" w:rsidR="004B239E" w:rsidRDefault="004B239E" w:rsidP="00FD09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E5A6B"/>
    <w:multiLevelType w:val="hybridMultilevel"/>
    <w:tmpl w:val="F5D0D93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FC45F59"/>
    <w:multiLevelType w:val="hybridMultilevel"/>
    <w:tmpl w:val="362A5B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222134454">
    <w:abstractNumId w:val="1"/>
  </w:num>
  <w:num w:numId="2" w16cid:durableId="49461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5E"/>
    <w:rsid w:val="00022BE6"/>
    <w:rsid w:val="000516ED"/>
    <w:rsid w:val="00074699"/>
    <w:rsid w:val="000D383B"/>
    <w:rsid w:val="000E0CA4"/>
    <w:rsid w:val="00113AC5"/>
    <w:rsid w:val="0011508D"/>
    <w:rsid w:val="0011693A"/>
    <w:rsid w:val="0014038F"/>
    <w:rsid w:val="00193A23"/>
    <w:rsid w:val="001A2ADD"/>
    <w:rsid w:val="001B103C"/>
    <w:rsid w:val="001B1D2C"/>
    <w:rsid w:val="001C4BB1"/>
    <w:rsid w:val="001C7E1A"/>
    <w:rsid w:val="00255956"/>
    <w:rsid w:val="0036521C"/>
    <w:rsid w:val="0036655D"/>
    <w:rsid w:val="003925A3"/>
    <w:rsid w:val="003A2F88"/>
    <w:rsid w:val="003B0C1C"/>
    <w:rsid w:val="00407FBB"/>
    <w:rsid w:val="00423064"/>
    <w:rsid w:val="00461C62"/>
    <w:rsid w:val="0049765E"/>
    <w:rsid w:val="004A24A1"/>
    <w:rsid w:val="004B239E"/>
    <w:rsid w:val="004F1775"/>
    <w:rsid w:val="00517E90"/>
    <w:rsid w:val="0057628D"/>
    <w:rsid w:val="00580543"/>
    <w:rsid w:val="005973E7"/>
    <w:rsid w:val="005D1875"/>
    <w:rsid w:val="005E3B30"/>
    <w:rsid w:val="00696D6B"/>
    <w:rsid w:val="006B31BC"/>
    <w:rsid w:val="006C2997"/>
    <w:rsid w:val="006D7FEF"/>
    <w:rsid w:val="006F6FE7"/>
    <w:rsid w:val="00762141"/>
    <w:rsid w:val="00785963"/>
    <w:rsid w:val="007B6CAF"/>
    <w:rsid w:val="00856A34"/>
    <w:rsid w:val="0088637D"/>
    <w:rsid w:val="0089674E"/>
    <w:rsid w:val="008A4184"/>
    <w:rsid w:val="00912BC6"/>
    <w:rsid w:val="00916826"/>
    <w:rsid w:val="00921CFA"/>
    <w:rsid w:val="00934F08"/>
    <w:rsid w:val="009B2B05"/>
    <w:rsid w:val="009D2E5C"/>
    <w:rsid w:val="00A100F7"/>
    <w:rsid w:val="00A1308B"/>
    <w:rsid w:val="00A13410"/>
    <w:rsid w:val="00A22130"/>
    <w:rsid w:val="00A53C40"/>
    <w:rsid w:val="00A5402B"/>
    <w:rsid w:val="00A70D2D"/>
    <w:rsid w:val="00AF35B6"/>
    <w:rsid w:val="00AF35C1"/>
    <w:rsid w:val="00AF5841"/>
    <w:rsid w:val="00B075DB"/>
    <w:rsid w:val="00BD445B"/>
    <w:rsid w:val="00BF2D5D"/>
    <w:rsid w:val="00BF7922"/>
    <w:rsid w:val="00C40A3D"/>
    <w:rsid w:val="00C74A15"/>
    <w:rsid w:val="00CD241A"/>
    <w:rsid w:val="00CD6CE2"/>
    <w:rsid w:val="00CE3027"/>
    <w:rsid w:val="00D00B78"/>
    <w:rsid w:val="00D2609E"/>
    <w:rsid w:val="00D477C7"/>
    <w:rsid w:val="00D53670"/>
    <w:rsid w:val="00D55C62"/>
    <w:rsid w:val="00DB124E"/>
    <w:rsid w:val="00DE1225"/>
    <w:rsid w:val="00E132A2"/>
    <w:rsid w:val="00EA2EA9"/>
    <w:rsid w:val="00EC4D9B"/>
    <w:rsid w:val="00F05B6E"/>
    <w:rsid w:val="00F80497"/>
    <w:rsid w:val="00F81331"/>
    <w:rsid w:val="00FD0981"/>
    <w:rsid w:val="00FE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1A482"/>
  <w15:docId w15:val="{A991F2A7-9F5B-8143-B6CE-837BEA82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BB1"/>
    <w:rPr>
      <w:rFonts w:ascii="Lucida Grande" w:hAnsi="Lucida Grande" w:cs="Lucida Grande"/>
      <w:sz w:val="18"/>
      <w:szCs w:val="18"/>
    </w:rPr>
  </w:style>
  <w:style w:type="character" w:styleId="Hyperlink">
    <w:name w:val="Hyperlink"/>
    <w:basedOn w:val="DefaultParagraphFont"/>
    <w:uiPriority w:val="99"/>
    <w:unhideWhenUsed/>
    <w:rsid w:val="00A70D2D"/>
    <w:rPr>
      <w:color w:val="1B7F81" w:themeColor="hyperlink"/>
      <w:u w:val="single"/>
    </w:rPr>
  </w:style>
  <w:style w:type="character" w:styleId="CommentReference">
    <w:name w:val="annotation reference"/>
    <w:basedOn w:val="DefaultParagraphFont"/>
    <w:uiPriority w:val="99"/>
    <w:semiHidden/>
    <w:unhideWhenUsed/>
    <w:rsid w:val="0014038F"/>
    <w:rPr>
      <w:sz w:val="18"/>
      <w:szCs w:val="18"/>
    </w:rPr>
  </w:style>
  <w:style w:type="paragraph" w:styleId="CommentText">
    <w:name w:val="annotation text"/>
    <w:basedOn w:val="Normal"/>
    <w:link w:val="CommentTextChar"/>
    <w:uiPriority w:val="99"/>
    <w:semiHidden/>
    <w:unhideWhenUsed/>
    <w:rsid w:val="0014038F"/>
  </w:style>
  <w:style w:type="character" w:customStyle="1" w:styleId="CommentTextChar">
    <w:name w:val="Comment Text Char"/>
    <w:basedOn w:val="DefaultParagraphFont"/>
    <w:link w:val="CommentText"/>
    <w:uiPriority w:val="99"/>
    <w:semiHidden/>
    <w:rsid w:val="0014038F"/>
  </w:style>
  <w:style w:type="paragraph" w:styleId="CommentSubject">
    <w:name w:val="annotation subject"/>
    <w:basedOn w:val="CommentText"/>
    <w:next w:val="CommentText"/>
    <w:link w:val="CommentSubjectChar"/>
    <w:uiPriority w:val="99"/>
    <w:semiHidden/>
    <w:unhideWhenUsed/>
    <w:rsid w:val="0014038F"/>
    <w:rPr>
      <w:b/>
      <w:bCs/>
      <w:sz w:val="20"/>
      <w:szCs w:val="20"/>
    </w:rPr>
  </w:style>
  <w:style w:type="character" w:customStyle="1" w:styleId="CommentSubjectChar">
    <w:name w:val="Comment Subject Char"/>
    <w:basedOn w:val="CommentTextChar"/>
    <w:link w:val="CommentSubject"/>
    <w:uiPriority w:val="99"/>
    <w:semiHidden/>
    <w:rsid w:val="0014038F"/>
    <w:rPr>
      <w:b/>
      <w:bCs/>
      <w:sz w:val="20"/>
      <w:szCs w:val="20"/>
    </w:rPr>
  </w:style>
  <w:style w:type="paragraph" w:styleId="ListParagraph">
    <w:name w:val="List Paragraph"/>
    <w:basedOn w:val="Normal"/>
    <w:uiPriority w:val="34"/>
    <w:qFormat/>
    <w:rsid w:val="006C2997"/>
    <w:pPr>
      <w:ind w:left="720"/>
      <w:contextualSpacing/>
    </w:pPr>
  </w:style>
  <w:style w:type="character" w:customStyle="1" w:styleId="UnresolvedMention1">
    <w:name w:val="Unresolved Mention1"/>
    <w:basedOn w:val="DefaultParagraphFont"/>
    <w:uiPriority w:val="99"/>
    <w:semiHidden/>
    <w:unhideWhenUsed/>
    <w:rsid w:val="00D53670"/>
    <w:rPr>
      <w:color w:val="605E5C"/>
      <w:shd w:val="clear" w:color="auto" w:fill="E1DFDD"/>
    </w:rPr>
  </w:style>
  <w:style w:type="paragraph" w:styleId="Header">
    <w:name w:val="header"/>
    <w:basedOn w:val="Normal"/>
    <w:link w:val="HeaderChar"/>
    <w:uiPriority w:val="99"/>
    <w:unhideWhenUsed/>
    <w:rsid w:val="004B239E"/>
    <w:pPr>
      <w:tabs>
        <w:tab w:val="center" w:pos="4680"/>
        <w:tab w:val="right" w:pos="9360"/>
      </w:tabs>
    </w:pPr>
  </w:style>
  <w:style w:type="character" w:customStyle="1" w:styleId="HeaderChar">
    <w:name w:val="Header Char"/>
    <w:basedOn w:val="DefaultParagraphFont"/>
    <w:link w:val="Header"/>
    <w:uiPriority w:val="99"/>
    <w:rsid w:val="004B239E"/>
  </w:style>
  <w:style w:type="paragraph" w:styleId="Footer">
    <w:name w:val="footer"/>
    <w:basedOn w:val="Normal"/>
    <w:link w:val="FooterChar"/>
    <w:uiPriority w:val="99"/>
    <w:unhideWhenUsed/>
    <w:rsid w:val="004B239E"/>
    <w:pPr>
      <w:tabs>
        <w:tab w:val="center" w:pos="4680"/>
        <w:tab w:val="right" w:pos="9360"/>
      </w:tabs>
    </w:pPr>
  </w:style>
  <w:style w:type="character" w:customStyle="1" w:styleId="FooterChar">
    <w:name w:val="Footer Char"/>
    <w:basedOn w:val="DefaultParagraphFont"/>
    <w:link w:val="Footer"/>
    <w:uiPriority w:val="99"/>
    <w:rsid w:val="004B239E"/>
  </w:style>
  <w:style w:type="paragraph" w:styleId="Revision">
    <w:name w:val="Revision"/>
    <w:hidden/>
    <w:uiPriority w:val="99"/>
    <w:semiHidden/>
    <w:rsid w:val="000D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41391">
      <w:bodyDiv w:val="1"/>
      <w:marLeft w:val="0"/>
      <w:marRight w:val="0"/>
      <w:marTop w:val="0"/>
      <w:marBottom w:val="0"/>
      <w:divBdr>
        <w:top w:val="none" w:sz="0" w:space="0" w:color="auto"/>
        <w:left w:val="none" w:sz="0" w:space="0" w:color="auto"/>
        <w:bottom w:val="none" w:sz="0" w:space="0" w:color="auto"/>
        <w:right w:val="none" w:sz="0" w:space="0" w:color="auto"/>
      </w:divBdr>
    </w:div>
    <w:div w:id="1623997093">
      <w:bodyDiv w:val="1"/>
      <w:marLeft w:val="0"/>
      <w:marRight w:val="0"/>
      <w:marTop w:val="0"/>
      <w:marBottom w:val="0"/>
      <w:divBdr>
        <w:top w:val="none" w:sz="0" w:space="0" w:color="auto"/>
        <w:left w:val="none" w:sz="0" w:space="0" w:color="auto"/>
        <w:bottom w:val="none" w:sz="0" w:space="0" w:color="auto"/>
        <w:right w:val="none" w:sz="0" w:space="0" w:color="auto"/>
      </w:divBdr>
    </w:div>
    <w:div w:id="1764766389">
      <w:bodyDiv w:val="1"/>
      <w:marLeft w:val="0"/>
      <w:marRight w:val="0"/>
      <w:marTop w:val="0"/>
      <w:marBottom w:val="0"/>
      <w:divBdr>
        <w:top w:val="none" w:sz="0" w:space="0" w:color="auto"/>
        <w:left w:val="none" w:sz="0" w:space="0" w:color="auto"/>
        <w:bottom w:val="none" w:sz="0" w:space="0" w:color="auto"/>
        <w:right w:val="none" w:sz="0" w:space="0" w:color="auto"/>
      </w:divBdr>
      <w:divsChild>
        <w:div w:id="1707485907">
          <w:marLeft w:val="0"/>
          <w:marRight w:val="0"/>
          <w:marTop w:val="0"/>
          <w:marBottom w:val="0"/>
          <w:divBdr>
            <w:top w:val="none" w:sz="0" w:space="0" w:color="auto"/>
            <w:left w:val="none" w:sz="0" w:space="0" w:color="auto"/>
            <w:bottom w:val="none" w:sz="0" w:space="0" w:color="auto"/>
            <w:right w:val="none" w:sz="0" w:space="0" w:color="auto"/>
          </w:divBdr>
        </w:div>
        <w:div w:id="1820344006">
          <w:marLeft w:val="0"/>
          <w:marRight w:val="0"/>
          <w:marTop w:val="0"/>
          <w:marBottom w:val="0"/>
          <w:divBdr>
            <w:top w:val="none" w:sz="0" w:space="0" w:color="auto"/>
            <w:left w:val="none" w:sz="0" w:space="0" w:color="auto"/>
            <w:bottom w:val="none" w:sz="0" w:space="0" w:color="auto"/>
            <w:right w:val="none" w:sz="0" w:space="0" w:color="auto"/>
          </w:divBdr>
        </w:div>
        <w:div w:id="1283224476">
          <w:marLeft w:val="0"/>
          <w:marRight w:val="0"/>
          <w:marTop w:val="0"/>
          <w:marBottom w:val="0"/>
          <w:divBdr>
            <w:top w:val="none" w:sz="0" w:space="0" w:color="auto"/>
            <w:left w:val="none" w:sz="0" w:space="0" w:color="auto"/>
            <w:bottom w:val="none" w:sz="0" w:space="0" w:color="auto"/>
            <w:right w:val="none" w:sz="0" w:space="0" w:color="auto"/>
          </w:divBdr>
        </w:div>
        <w:div w:id="1142961859">
          <w:marLeft w:val="0"/>
          <w:marRight w:val="0"/>
          <w:marTop w:val="0"/>
          <w:marBottom w:val="0"/>
          <w:divBdr>
            <w:top w:val="none" w:sz="0" w:space="0" w:color="auto"/>
            <w:left w:val="none" w:sz="0" w:space="0" w:color="auto"/>
            <w:bottom w:val="none" w:sz="0" w:space="0" w:color="auto"/>
            <w:right w:val="none" w:sz="0" w:space="0" w:color="auto"/>
          </w:divBdr>
        </w:div>
        <w:div w:id="1567909835">
          <w:marLeft w:val="0"/>
          <w:marRight w:val="0"/>
          <w:marTop w:val="0"/>
          <w:marBottom w:val="0"/>
          <w:divBdr>
            <w:top w:val="none" w:sz="0" w:space="0" w:color="auto"/>
            <w:left w:val="none" w:sz="0" w:space="0" w:color="auto"/>
            <w:bottom w:val="none" w:sz="0" w:space="0" w:color="auto"/>
            <w:right w:val="none" w:sz="0" w:space="0" w:color="auto"/>
          </w:divBdr>
        </w:div>
        <w:div w:id="8534607">
          <w:marLeft w:val="0"/>
          <w:marRight w:val="0"/>
          <w:marTop w:val="0"/>
          <w:marBottom w:val="0"/>
          <w:divBdr>
            <w:top w:val="none" w:sz="0" w:space="0" w:color="auto"/>
            <w:left w:val="none" w:sz="0" w:space="0" w:color="auto"/>
            <w:bottom w:val="none" w:sz="0" w:space="0" w:color="auto"/>
            <w:right w:val="none" w:sz="0" w:space="0" w:color="auto"/>
          </w:divBdr>
        </w:div>
        <w:div w:id="1900438365">
          <w:marLeft w:val="0"/>
          <w:marRight w:val="0"/>
          <w:marTop w:val="0"/>
          <w:marBottom w:val="0"/>
          <w:divBdr>
            <w:top w:val="none" w:sz="0" w:space="0" w:color="auto"/>
            <w:left w:val="none" w:sz="0" w:space="0" w:color="auto"/>
            <w:bottom w:val="none" w:sz="0" w:space="0" w:color="auto"/>
            <w:right w:val="none" w:sz="0" w:space="0" w:color="auto"/>
          </w:divBdr>
        </w:div>
        <w:div w:id="163591599">
          <w:marLeft w:val="0"/>
          <w:marRight w:val="0"/>
          <w:marTop w:val="0"/>
          <w:marBottom w:val="0"/>
          <w:divBdr>
            <w:top w:val="none" w:sz="0" w:space="0" w:color="auto"/>
            <w:left w:val="none" w:sz="0" w:space="0" w:color="auto"/>
            <w:bottom w:val="none" w:sz="0" w:space="0" w:color="auto"/>
            <w:right w:val="none" w:sz="0" w:space="0" w:color="auto"/>
          </w:divBdr>
        </w:div>
        <w:div w:id="61490356">
          <w:marLeft w:val="0"/>
          <w:marRight w:val="0"/>
          <w:marTop w:val="0"/>
          <w:marBottom w:val="0"/>
          <w:divBdr>
            <w:top w:val="none" w:sz="0" w:space="0" w:color="auto"/>
            <w:left w:val="none" w:sz="0" w:space="0" w:color="auto"/>
            <w:bottom w:val="none" w:sz="0" w:space="0" w:color="auto"/>
            <w:right w:val="none" w:sz="0" w:space="0" w:color="auto"/>
          </w:divBdr>
        </w:div>
        <w:div w:id="1131244521">
          <w:marLeft w:val="0"/>
          <w:marRight w:val="0"/>
          <w:marTop w:val="0"/>
          <w:marBottom w:val="0"/>
          <w:divBdr>
            <w:top w:val="none" w:sz="0" w:space="0" w:color="auto"/>
            <w:left w:val="none" w:sz="0" w:space="0" w:color="auto"/>
            <w:bottom w:val="none" w:sz="0" w:space="0" w:color="auto"/>
            <w:right w:val="none" w:sz="0" w:space="0" w:color="auto"/>
          </w:divBdr>
        </w:div>
        <w:div w:id="179189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qcc.org/preterm-primary-care-too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diatrics.aappublications.org/content/134/2/415.fu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qcc.org/preterm-primary-care-toolkit" TargetMode="External"/></Relationships>
</file>

<file path=word/theme/theme1.xml><?xml version="1.0" encoding="utf-8"?>
<a:theme xmlns:a="http://schemas.openxmlformats.org/drawingml/2006/main" name="Office Theme">
  <a:themeElements>
    <a:clrScheme name="Custom 1">
      <a:dk1>
        <a:srgbClr val="443560"/>
      </a:dk1>
      <a:lt1>
        <a:srgbClr val="FFFFFF"/>
      </a:lt1>
      <a:dk2>
        <a:srgbClr val="1B7F81"/>
      </a:dk2>
      <a:lt2>
        <a:srgbClr val="E7E6E6"/>
      </a:lt2>
      <a:accent1>
        <a:srgbClr val="443560"/>
      </a:accent1>
      <a:accent2>
        <a:srgbClr val="443560"/>
      </a:accent2>
      <a:accent3>
        <a:srgbClr val="1B7F81"/>
      </a:accent3>
      <a:accent4>
        <a:srgbClr val="ED9B36"/>
      </a:accent4>
      <a:accent5>
        <a:srgbClr val="E9E7E6"/>
      </a:accent5>
      <a:accent6>
        <a:srgbClr val="A2A2A2"/>
      </a:accent6>
      <a:hlink>
        <a:srgbClr val="1B7F81"/>
      </a:hlink>
      <a:folHlink>
        <a:srgbClr val="ED9B3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Lowe</dc:creator>
  <cp:keywords/>
  <dc:description/>
  <cp:lastModifiedBy>Arronoel Mondala Ashby-Rosellon</cp:lastModifiedBy>
  <cp:revision>2</cp:revision>
  <dcterms:created xsi:type="dcterms:W3CDTF">2023-11-21T23:03:00Z</dcterms:created>
  <dcterms:modified xsi:type="dcterms:W3CDTF">2023-11-21T23:03:00Z</dcterms:modified>
</cp:coreProperties>
</file>